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B0F0B" w14:textId="77777777" w:rsidR="00AD72F9" w:rsidRDefault="00AD72F9" w:rsidP="004660CC">
      <w:pPr>
        <w:spacing w:after="140"/>
        <w:ind w:firstLine="0"/>
        <w:rPr>
          <w:b/>
          <w:sz w:val="32"/>
        </w:rPr>
      </w:pPr>
    </w:p>
    <w:p w14:paraId="571CBBC3" w14:textId="77777777" w:rsidR="00BE522A" w:rsidRDefault="00000000">
      <w:pPr>
        <w:ind w:firstLine="0"/>
        <w:jc w:val="center"/>
        <w:rPr>
          <w:b/>
          <w:sz w:val="32"/>
        </w:rPr>
      </w:pPr>
      <w:r>
        <w:rPr>
          <w:b/>
          <w:sz w:val="32"/>
          <w:szCs w:val="32"/>
        </w:rPr>
        <w:t>Pengaruh Growth Mindset terhadap Academic Grit Siswa Kelas X SMK Negeri 2 Sewon</w:t>
      </w:r>
    </w:p>
    <w:p w14:paraId="045C0C79" w14:textId="77777777" w:rsidR="00AD72F9" w:rsidRDefault="00AD72F9" w:rsidP="00AD72F9">
      <w:pPr>
        <w:ind w:firstLine="0"/>
        <w:jc w:val="center"/>
      </w:pPr>
    </w:p>
    <w:p w14:paraId="5A572F42" w14:textId="77777777" w:rsidR="00BE522A" w:rsidRDefault="00000000">
      <w:pPr>
        <w:ind w:firstLine="0"/>
        <w:jc w:val="center"/>
        <w:rPr>
          <w:b/>
          <w:sz w:val="32"/>
        </w:rPr>
      </w:pPr>
      <w:r>
        <w:rPr>
          <w:b/>
          <w:sz w:val="32"/>
          <w:szCs w:val="32"/>
        </w:rPr>
        <w:t>The Effect of Growth Mindset on Academic Grit among Tenth-Grade Students at SMK Negeri 2 Sewon</w:t>
      </w:r>
    </w:p>
    <w:p w14:paraId="5DBCE4BF" w14:textId="77777777" w:rsidR="00AD72F9" w:rsidRDefault="00AD72F9">
      <w:pPr>
        <w:spacing w:after="140"/>
        <w:ind w:firstLine="0"/>
        <w:jc w:val="center"/>
      </w:pPr>
    </w:p>
    <w:p w14:paraId="32A05133" w14:textId="0A7B6C53" w:rsidR="00BE522A" w:rsidRDefault="00000000">
      <w:pPr>
        <w:ind w:firstLine="0"/>
        <w:jc w:val="center"/>
      </w:pPr>
      <w:r>
        <w:rPr>
          <w:b/>
          <w:vertAlign w:val="superscript"/>
        </w:rPr>
        <w:t>*1</w:t>
      </w:r>
      <w:r>
        <w:rPr>
          <w:b/>
        </w:rPr>
        <w:t>Muhammad Ardhillah,</w:t>
      </w:r>
      <w:r>
        <w:rPr>
          <w:b/>
          <w:vertAlign w:val="superscript"/>
        </w:rPr>
        <w:t>2</w:t>
      </w:r>
      <w:r>
        <w:rPr>
          <w:b/>
        </w:rPr>
        <w:t>Mufied Fauziah</w:t>
      </w:r>
    </w:p>
    <w:p w14:paraId="4B57D4E3" w14:textId="77777777" w:rsidR="00BE522A" w:rsidRDefault="00000000">
      <w:pPr>
        <w:ind w:firstLine="0"/>
        <w:jc w:val="center"/>
      </w:pPr>
      <w:r>
        <w:t>Universitas Ahmad Dahlan, Indonesia</w:t>
      </w:r>
    </w:p>
    <w:p w14:paraId="038EED9F" w14:textId="77777777" w:rsidR="00BE522A" w:rsidRDefault="00000000">
      <w:pPr>
        <w:ind w:firstLine="0"/>
        <w:jc w:val="center"/>
      </w:pPr>
      <w:r>
        <w:t xml:space="preserve">*e-mail: </w:t>
      </w:r>
      <w:hyperlink r:id="rId7" w:history="1">
        <w:r>
          <w:rPr>
            <w:rStyle w:val="Hyperlink"/>
          </w:rPr>
          <w:t>muhammad2100001058@webmail.uad.ac.id</w:t>
        </w:r>
      </w:hyperlink>
    </w:p>
    <w:p w14:paraId="1D3EA87B" w14:textId="77777777" w:rsidR="00C1474C" w:rsidRDefault="00C1474C" w:rsidP="00E732A3">
      <w:pPr>
        <w:ind w:firstLine="0"/>
        <w:jc w:val="center"/>
      </w:pPr>
    </w:p>
    <w:p w14:paraId="07D2479C" w14:textId="77777777" w:rsidR="00BE522A" w:rsidRDefault="00000000" w:rsidP="00E75E1B">
      <w:pPr>
        <w:spacing w:before="120"/>
        <w:ind w:firstLine="0"/>
      </w:pPr>
      <w:r>
        <w:rPr>
          <w:b/>
        </w:rPr>
        <w:t>Abstrak</w:t>
      </w:r>
      <w:r>
        <w:t xml:space="preserve">: </w:t>
      </w:r>
      <w:r>
        <w:rPr>
          <w:i/>
        </w:rPr>
        <w:t>Academic grit adalah ketekunan dan konsistensi siswa dalam mengejar tujuan akademik jangka panjang meskipun menghadapi hambatan. Growth mindset, yaitu keyakinan bahwa kemampuan dapat dikembangkan melalui usaha, diduga memengaruhi academic grit, tetapi temuan penelitian terdahulu belum konsisten. Penelitian ini bertujuan menguji pengaruh growth mindset terhadap academic grit siswa kelas X SMK Negeri 2 Sewon. Penelitian menggunakan pendekatan kuantitatif ex post facto dengan analisis regresi linier sederhana. Sampel berjumlah 164 siswa dari populasi 243 siswa yang dipilih melalui cluster random sampling. Data dikumpulkan dengan skala growth mindset (37 butir) dan skala academic grit (29 butir) yang telah diuji validitas dan reliabilitasnya. Hasil menunjukkan bahwa growth mindset tidak berpengaruh signifikan terhadap academic grit (B = −0,083; p = 0,422; R² = 0,004), sehingga hanya 0,4% variasi academic grit yang dikaitkan dengan growth mindset. Sebagian besar siswa berada pada kategori sedang untuk kedua variabel. Temuan ini mengimplikasikan bahwa layanan bimbingan dan konseling perlu menelaah faktor lain yang berkaitan dengan academic grit dan tidak hanya berfokus pada growth mindset. Keterbatasan penelitian mencakup cakupan satu sekolah, penggunaan laporan diri, dan desain ex post facto sehingga generalisasi perlu dilakukan dengan hati-hati.</w:t>
      </w:r>
    </w:p>
    <w:p w14:paraId="2911E5BE" w14:textId="77777777" w:rsidR="00BE522A" w:rsidRDefault="00000000">
      <w:pPr>
        <w:spacing w:before="60" w:after="120"/>
        <w:ind w:firstLine="0"/>
        <w:rPr>
          <w:i/>
        </w:rPr>
      </w:pPr>
      <w:r>
        <w:rPr>
          <w:b/>
          <w:i/>
        </w:rPr>
        <w:t xml:space="preserve">Kata kunci: </w:t>
      </w:r>
      <w:r>
        <w:rPr>
          <w:i/>
        </w:rPr>
        <w:t xml:space="preserve">growth mindset; academic grit; siswa SMK; </w:t>
      </w:r>
      <w:proofErr w:type="spellStart"/>
      <w:r>
        <w:rPr>
          <w:i/>
        </w:rPr>
        <w:t>bimbingan</w:t>
      </w:r>
      <w:proofErr w:type="spellEnd"/>
      <w:r>
        <w:rPr>
          <w:i/>
        </w:rPr>
        <w:t xml:space="preserve"> dan </w:t>
      </w:r>
      <w:proofErr w:type="spellStart"/>
      <w:r>
        <w:rPr>
          <w:i/>
        </w:rPr>
        <w:t>konseling</w:t>
      </w:r>
      <w:proofErr w:type="spellEnd"/>
    </w:p>
    <w:p w14:paraId="7BEBFE57" w14:textId="77777777" w:rsidR="00E75E1B" w:rsidRDefault="00E75E1B">
      <w:pPr>
        <w:spacing w:before="60" w:after="120"/>
        <w:ind w:firstLine="0"/>
      </w:pPr>
    </w:p>
    <w:p w14:paraId="2EA77B19" w14:textId="77777777" w:rsidR="00BE522A" w:rsidRDefault="00000000">
      <w:pPr>
        <w:spacing w:before="120" w:after="60"/>
        <w:ind w:firstLine="0"/>
      </w:pPr>
      <w:r>
        <w:rPr>
          <w:b/>
        </w:rPr>
        <w:t>Abstract</w:t>
      </w:r>
      <w:r>
        <w:t xml:space="preserve">: </w:t>
      </w:r>
      <w:r>
        <w:rPr>
          <w:i/>
        </w:rPr>
        <w:t xml:space="preserve">Academic grit is students’ perseverance and consistency in pursuing long-term academic goals despite obstacles. Growth mindset, the belief that abilities can be developed through effort, is assumed to influence academic grit, but previous findings are inconsistent. This study examined the effect of growth mindset on academic grit among tenth-grade students at SMK Negeri 2 Sewon. A quantitative ex post facto approach with simple linear regression was used. The sample consisted of 164 students drawn from a population of 243 through cluster random sampling. Data were collected using a growth mindset scale (37 items) and an academic grit scale (29 items), both tested for validity and reliability. The results showed that growth mindset had no significant effect on academic grit (B = −0.083; p = 0.422; R² = 0.004), so growth mindset was associated with only 0.4% of the variance in academic grit. Most students were in the moderate category on both variables. These findings imply that guidance and counselling services should examine other factors related to academic grit rather than focusing </w:t>
      </w:r>
      <w:r>
        <w:rPr>
          <w:i/>
        </w:rPr>
        <w:lastRenderedPageBreak/>
        <w:t>only on growth mindset. The study is limited by its single-school scope, self-report measures, and ex post facto design, so generalisation should be made with caution.</w:t>
      </w:r>
    </w:p>
    <w:p w14:paraId="6A2A3616" w14:textId="77777777" w:rsidR="00BE522A" w:rsidRDefault="00000000">
      <w:pPr>
        <w:spacing w:before="60" w:after="120"/>
        <w:ind w:firstLine="0"/>
      </w:pPr>
      <w:r>
        <w:rPr>
          <w:b/>
          <w:i/>
        </w:rPr>
        <w:t xml:space="preserve">Keywords: </w:t>
      </w:r>
      <w:r>
        <w:rPr>
          <w:i/>
        </w:rPr>
        <w:t>growth mindset; academic grit; vocational high school students; guidance and counselling</w:t>
      </w:r>
    </w:p>
    <w:p w14:paraId="7069D92F" w14:textId="77777777" w:rsidR="00BE522A" w:rsidRDefault="00000000">
      <w:pPr>
        <w:pStyle w:val="Judul1"/>
        <w:ind w:firstLine="0"/>
      </w:pPr>
      <w:r>
        <w:rPr>
          <w:sz w:val="28"/>
          <w:szCs w:val="28"/>
        </w:rPr>
        <w:t>Pendahuluan</w:t>
      </w:r>
    </w:p>
    <w:p w14:paraId="27BDCF32" w14:textId="77777777" w:rsidR="00BE522A" w:rsidRDefault="00000000">
      <w:r>
        <w:t xml:space="preserve">Keberhasilan belajar siswa tidak hanya ditentukan oleh kemampuan kognitif, tetapi juga oleh sifat nonkognitif yang menopang usaha belajar dalam jangka panjang. Salah satu sifat tersebut adalah </w:t>
      </w:r>
      <w:r>
        <w:rPr>
          <w:i/>
        </w:rPr>
        <w:t>grit</w:t>
      </w:r>
      <w:r>
        <w:t>, yaitu ketekunan dan semangat untuk mencapai tujuan jangka panjang (</w:t>
      </w:r>
      <w:hyperlink w:anchor="ref_duck2007" w:history="1">
        <w:r>
          <w:rPr>
            <w:color w:val="0000FF"/>
          </w:rPr>
          <w:t>Duckworth et al. (2007)</w:t>
        </w:r>
      </w:hyperlink>
      <w:r>
        <w:t xml:space="preserve">). Pada ranah pendidikan, konsep ini dioperasionalkan sebagai </w:t>
      </w:r>
      <w:r>
        <w:rPr>
          <w:i/>
        </w:rPr>
        <w:t>academic grit</w:t>
      </w:r>
      <w:r>
        <w:t xml:space="preserve">, yaitu </w:t>
      </w:r>
      <w:r>
        <w:rPr>
          <w:i/>
        </w:rPr>
        <w:t>grit</w:t>
      </w:r>
      <w:r>
        <w:t xml:space="preserve"> yang spesifik pada bidang akademik dan mencakup tekad, ketangguhan, serta fokus dalam mengejar tujuan belajar </w:t>
      </w:r>
      <w:r>
        <w:rPr>
          <w:color w:val="0000FF"/>
        </w:rPr>
        <w:t>(</w:t>
      </w:r>
      <w:hyperlink w:anchor="ref_clark" w:history="1">
        <w:r>
          <w:rPr>
            <w:color w:val="0000FF"/>
          </w:rPr>
          <w:t>Clark &amp; Malecki, 2019</w:t>
        </w:r>
      </w:hyperlink>
      <w:r>
        <w:rPr>
          <w:color w:val="0000FF"/>
        </w:rPr>
        <w:t>)</w:t>
      </w:r>
      <w:r>
        <w:t xml:space="preserve">. Siswa dengan </w:t>
      </w:r>
      <w:r>
        <w:rPr>
          <w:i/>
        </w:rPr>
        <w:t>academic grit</w:t>
      </w:r>
      <w:r>
        <w:t xml:space="preserve"> yang tinggi cenderung lebih mampu mengatasi tantangan dan kegagalan selama belajar </w:t>
      </w:r>
      <w:r>
        <w:rPr>
          <w:color w:val="0000FF"/>
        </w:rPr>
        <w:t>(</w:t>
      </w:r>
      <w:hyperlink w:anchor="ref_duckq" w:history="1">
        <w:r>
          <w:rPr>
            <w:color w:val="0000FF"/>
          </w:rPr>
          <w:t>Duckworth &amp; Quinn, 2009</w:t>
        </w:r>
      </w:hyperlink>
      <w:r>
        <w:rPr>
          <w:color w:val="0000FF"/>
        </w:rPr>
        <w:t>)</w:t>
      </w:r>
      <w:r>
        <w:t xml:space="preserve">. </w:t>
      </w:r>
      <w:r>
        <w:rPr>
          <w:i/>
        </w:rPr>
        <w:t>Grit</w:t>
      </w:r>
      <w:r>
        <w:t xml:space="preserve"> juga berkaitan dengan kelanjutan pendidikan, karena siswa yang lebih gigih lebih mungkin menamatkan sekolah menengah </w:t>
      </w:r>
      <w:r>
        <w:rPr>
          <w:color w:val="0000FF"/>
        </w:rPr>
        <w:t>(</w:t>
      </w:r>
      <w:hyperlink w:anchor="ref_eskreis" w:history="1">
        <w:r>
          <w:rPr>
            <w:color w:val="0000FF"/>
          </w:rPr>
          <w:t>Eskreis-Winkler et al., 2014</w:t>
        </w:r>
      </w:hyperlink>
      <w:r>
        <w:rPr>
          <w:color w:val="0000FF"/>
        </w:rPr>
        <w:t>)</w:t>
      </w:r>
      <w:r>
        <w:t>.</w:t>
      </w:r>
    </w:p>
    <w:p w14:paraId="37C27307" w14:textId="77777777" w:rsidR="00BE522A" w:rsidRDefault="00000000">
      <w:r>
        <w:t xml:space="preserve">Bukti empiris menunjukkan bahwa </w:t>
      </w:r>
      <w:r>
        <w:rPr>
          <w:i/>
        </w:rPr>
        <w:t>grit</w:t>
      </w:r>
      <w:r>
        <w:t xml:space="preserve"> berkaitan positif dengan prestasi akademik. Meta-analisis lintas budaya melaporkan bahwa </w:t>
      </w:r>
      <w:r>
        <w:rPr>
          <w:i/>
        </w:rPr>
        <w:t>grit</w:t>
      </w:r>
      <w:r>
        <w:t xml:space="preserve"> secara keseluruhan dan kedua komponennya berhubungan positif dengan prestasi akademik, dengan ketekunan usaha sebagai komponen yang paling kuat </w:t>
      </w:r>
      <w:r>
        <w:rPr>
          <w:color w:val="0000FF"/>
        </w:rPr>
        <w:t>(</w:t>
      </w:r>
      <w:hyperlink w:anchor="ref_lam" w:history="1">
        <w:r>
          <w:rPr>
            <w:color w:val="0000FF"/>
          </w:rPr>
          <w:t>Lam &amp; Zhou, 2022</w:t>
        </w:r>
      </w:hyperlink>
      <w:r>
        <w:rPr>
          <w:color w:val="0000FF"/>
        </w:rPr>
        <w:t>)</w:t>
      </w:r>
      <w:r>
        <w:t xml:space="preserve">. Namun, kekuatan hubungan tersebut tergolong sedang dan struktur konstruk </w:t>
      </w:r>
      <w:r>
        <w:rPr>
          <w:i/>
        </w:rPr>
        <w:t>grit</w:t>
      </w:r>
      <w:r>
        <w:t xml:space="preserve"> masih diperdebatkan </w:t>
      </w:r>
      <w:r>
        <w:rPr>
          <w:color w:val="0000FF"/>
        </w:rPr>
        <w:t>(</w:t>
      </w:r>
      <w:hyperlink w:anchor="ref_crede" w:history="1">
        <w:r>
          <w:rPr>
            <w:color w:val="0000FF"/>
          </w:rPr>
          <w:t>Credé et al., 2017</w:t>
        </w:r>
      </w:hyperlink>
      <w:r>
        <w:rPr>
          <w:color w:val="0000FF"/>
        </w:rPr>
        <w:t xml:space="preserve">; </w:t>
      </w:r>
      <w:hyperlink w:anchor="ref_morell" w:history="1">
        <w:r>
          <w:rPr>
            <w:color w:val="0000FF"/>
          </w:rPr>
          <w:t>Morell et al., 2021</w:t>
        </w:r>
      </w:hyperlink>
      <w:r>
        <w:rPr>
          <w:color w:val="0000FF"/>
        </w:rPr>
        <w:t>)</w:t>
      </w:r>
      <w:r>
        <w:t xml:space="preserve">. Di Indonesia, studi pada mahasiswa menemukan hubungan positif yang signifikan tetapi lemah antara </w:t>
      </w:r>
      <w:r>
        <w:rPr>
          <w:i/>
        </w:rPr>
        <w:t>grit</w:t>
      </w:r>
      <w:r>
        <w:t xml:space="preserve"> dan prestasi akademik (r = 0,282; </w:t>
      </w:r>
      <w:hyperlink w:anchor="ref_izz" w:history="1">
        <w:r>
          <w:rPr>
            <w:color w:val="0000FF"/>
          </w:rPr>
          <w:t>Izzulhaq et al., 2023</w:t>
        </w:r>
      </w:hyperlink>
      <w:r>
        <w:t xml:space="preserve">). </w:t>
      </w:r>
      <w:r>
        <w:rPr>
          <w:i/>
        </w:rPr>
        <w:t>Grit</w:t>
      </w:r>
      <w:r>
        <w:t xml:space="preserve"> dipandang sebagai faktor nonkognitif yang dikaitkan dengan keberhasilan akademik </w:t>
      </w:r>
      <w:r>
        <w:rPr>
          <w:color w:val="0000FF"/>
        </w:rPr>
        <w:t>(</w:t>
      </w:r>
      <w:hyperlink w:anchor="ref_li" w:history="1">
        <w:r>
          <w:rPr>
            <w:color w:val="0000FF"/>
          </w:rPr>
          <w:t>Li &amp; Li, 2021</w:t>
        </w:r>
      </w:hyperlink>
      <w:r>
        <w:rPr>
          <w:color w:val="0000FF"/>
        </w:rPr>
        <w:t>)</w:t>
      </w:r>
      <w:r>
        <w:t xml:space="preserve">. Meskipun demikian, kajian tentang </w:t>
      </w:r>
      <w:r>
        <w:rPr>
          <w:i/>
        </w:rPr>
        <w:t>academic grit</w:t>
      </w:r>
      <w:r>
        <w:t xml:space="preserve"> pada siswa sekolah menengah kejuruan (SMK) masih jarang dibandingkan kajian pada mahasiswa dan orang dewasa.</w:t>
      </w:r>
    </w:p>
    <w:p w14:paraId="39C3A06C" w14:textId="77777777" w:rsidR="00BE522A" w:rsidRDefault="00000000">
      <w:r>
        <w:t xml:space="preserve">Beberapa faktor dikemukakan sebagai penentu </w:t>
      </w:r>
      <w:r>
        <w:rPr>
          <w:i/>
        </w:rPr>
        <w:t>grit</w:t>
      </w:r>
      <w:r>
        <w:t xml:space="preserve">. </w:t>
      </w:r>
      <w:hyperlink w:anchor="ref_duck2016" w:history="1">
        <w:r>
          <w:rPr>
            <w:color w:val="0000FF"/>
          </w:rPr>
          <w:t>Duckworth (2016)</w:t>
        </w:r>
      </w:hyperlink>
      <w:r>
        <w:t xml:space="preserve"> menguraikan faktor internal berupa minat, latihan, tujuan, dan harapan, serta faktor eksternal berupa pola asuh, lingkungan sosial, dan budaya. Studi pada mahasiswa menunjukkan bahwa </w:t>
      </w:r>
      <w:r>
        <w:rPr>
          <w:i/>
        </w:rPr>
        <w:t>grit</w:t>
      </w:r>
      <w:r>
        <w:t xml:space="preserve"> berkaitan paling erat dengan kendali diri, dan mahasiswa dengan </w:t>
      </w:r>
      <w:r>
        <w:rPr>
          <w:i/>
        </w:rPr>
        <w:t>grit</w:t>
      </w:r>
      <w:r>
        <w:t xml:space="preserve"> tinggi cenderung lebih resilien serta lebih berorientasi pada pola pikir berkembang </w:t>
      </w:r>
      <w:r>
        <w:rPr>
          <w:color w:val="0000FF"/>
        </w:rPr>
        <w:t>(</w:t>
      </w:r>
      <w:hyperlink w:anchor="ref_kann" w:history="1">
        <w:r>
          <w:rPr>
            <w:color w:val="0000FF"/>
          </w:rPr>
          <w:t>Kannangara et al., 2018</w:t>
        </w:r>
      </w:hyperlink>
      <w:r>
        <w:rPr>
          <w:color w:val="0000FF"/>
        </w:rPr>
        <w:t>)</w:t>
      </w:r>
      <w:r>
        <w:t xml:space="preserve">. Salah satu faktor yang diduga memengaruhi </w:t>
      </w:r>
      <w:r>
        <w:rPr>
          <w:i/>
        </w:rPr>
        <w:t>grit</w:t>
      </w:r>
      <w:r>
        <w:t xml:space="preserve"> adalah </w:t>
      </w:r>
      <w:r>
        <w:rPr>
          <w:i/>
        </w:rPr>
        <w:t>growth mindset</w:t>
      </w:r>
      <w:r>
        <w:t>.</w:t>
      </w:r>
    </w:p>
    <w:p w14:paraId="20EE10A6" w14:textId="77777777" w:rsidR="00BE522A" w:rsidRDefault="00000000">
      <w:r>
        <w:rPr>
          <w:i/>
        </w:rPr>
        <w:t>Growth mindset</w:t>
      </w:r>
      <w:r>
        <w:t xml:space="preserve"> adalah keyakinan bahwa kecerdasan dan kemampuan dapat dikembangkan melalui usaha. Keyakinan ini berbeda dari </w:t>
      </w:r>
      <w:r>
        <w:rPr>
          <w:i/>
        </w:rPr>
        <w:t>fixed mindset</w:t>
      </w:r>
      <w:r>
        <w:t xml:space="preserve"> yang memandang kemampuan sebagai sesuatu yang tetap </w:t>
      </w:r>
      <w:r>
        <w:rPr>
          <w:color w:val="0000FF"/>
        </w:rPr>
        <w:t>(</w:t>
      </w:r>
      <w:hyperlink w:anchor="ref_dweckl" w:history="1">
        <w:r>
          <w:rPr>
            <w:color w:val="0000FF"/>
          </w:rPr>
          <w:t>Dweck &amp; Leggett, 1988</w:t>
        </w:r>
      </w:hyperlink>
      <w:r>
        <w:rPr>
          <w:color w:val="0000FF"/>
        </w:rPr>
        <w:t xml:space="preserve">; </w:t>
      </w:r>
      <w:hyperlink w:anchor="ref_dweck2006" w:history="1">
        <w:r>
          <w:rPr>
            <w:color w:val="0000FF"/>
          </w:rPr>
          <w:t>Dweck, 2006</w:t>
        </w:r>
      </w:hyperlink>
      <w:r>
        <w:rPr>
          <w:color w:val="0000FF"/>
        </w:rPr>
        <w:t>)</w:t>
      </w:r>
      <w:r>
        <w:t xml:space="preserve">. Pada remaja, keyakinan bahwa kecerdasan dapat berkembang memprediksi lintasan nilai yang meningkat selama masa transisi sekolah </w:t>
      </w:r>
      <w:r>
        <w:rPr>
          <w:color w:val="0000FF"/>
        </w:rPr>
        <w:t>(</w:t>
      </w:r>
      <w:hyperlink w:anchor="ref_blackwell" w:history="1">
        <w:r>
          <w:rPr>
            <w:color w:val="0000FF"/>
          </w:rPr>
          <w:t>Blackwell et al., 2007</w:t>
        </w:r>
      </w:hyperlink>
      <w:r>
        <w:rPr>
          <w:color w:val="0000FF"/>
        </w:rPr>
        <w:t>)</w:t>
      </w:r>
      <w:r>
        <w:t xml:space="preserve">, dan siswa dengan pola pikir tersebut menunjukkan resiliensi yang lebih baik terhadap tantangan akademik dan sosial </w:t>
      </w:r>
      <w:r>
        <w:rPr>
          <w:color w:val="0000FF"/>
        </w:rPr>
        <w:t>(</w:t>
      </w:r>
      <w:hyperlink w:anchor="ref_yeagerd" w:history="1">
        <w:r>
          <w:rPr>
            <w:color w:val="0000FF"/>
          </w:rPr>
          <w:t>Yeager &amp; Dweck, 2012</w:t>
        </w:r>
      </w:hyperlink>
      <w:r>
        <w:rPr>
          <w:color w:val="0000FF"/>
        </w:rPr>
        <w:t>)</w:t>
      </w:r>
      <w:r>
        <w:t xml:space="preserve">. Meta-analisis juga menunjukkan bahwa teori inkremental memprediksi strategi berorientasi penguasaan dan penetapan tujuan belajar </w:t>
      </w:r>
      <w:r>
        <w:rPr>
          <w:color w:val="0000FF"/>
        </w:rPr>
        <w:t>(</w:t>
      </w:r>
      <w:hyperlink w:anchor="ref_burnette" w:history="1">
        <w:r>
          <w:rPr>
            <w:color w:val="0000FF"/>
          </w:rPr>
          <w:t>Burnette et al., 2013</w:t>
        </w:r>
      </w:hyperlink>
      <w:r>
        <w:rPr>
          <w:color w:val="0000FF"/>
        </w:rPr>
        <w:t>)</w:t>
      </w:r>
      <w:r>
        <w:t xml:space="preserve">. Atas dasar logika tersebut, </w:t>
      </w:r>
      <w:hyperlink w:anchor="ref_hoch" w:history="1">
        <w:r>
          <w:rPr>
            <w:color w:val="0000FF"/>
          </w:rPr>
          <w:t>Hochanadel &amp; Finamore (2015)</w:t>
        </w:r>
      </w:hyperlink>
      <w:r>
        <w:t xml:space="preserve"> membahas bagaimana </w:t>
      </w:r>
      <w:r>
        <w:rPr>
          <w:i/>
        </w:rPr>
        <w:t>growth mindset</w:t>
      </w:r>
      <w:r>
        <w:t xml:space="preserve"> dan </w:t>
      </w:r>
      <w:r>
        <w:rPr>
          <w:i/>
        </w:rPr>
        <w:t>grit</w:t>
      </w:r>
      <w:r>
        <w:t xml:space="preserve"> berperan dalam membantu siswa bertahan menghadapi kesulitan. Namun, kekuatan bukti mengenai peran </w:t>
      </w:r>
      <w:r>
        <w:rPr>
          <w:i/>
        </w:rPr>
        <w:t>mindset</w:t>
      </w:r>
      <w:r>
        <w:t xml:space="preserve"> terhadap capaian akademik masih diperdebatkan. Dua meta-analisis menemukan bahwa hubungan </w:t>
      </w:r>
      <w:r>
        <w:rPr>
          <w:i/>
        </w:rPr>
        <w:t>mindset</w:t>
      </w:r>
      <w:r>
        <w:t xml:space="preserve"> dengan prestasi akademik dan efek intervensi </w:t>
      </w:r>
      <w:r>
        <w:rPr>
          <w:i/>
        </w:rPr>
        <w:t>mindset</w:t>
      </w:r>
      <w:r>
        <w:t xml:space="preserve"> tergolong lemah secara keseluruhan </w:t>
      </w:r>
      <w:r>
        <w:rPr>
          <w:color w:val="0000FF"/>
        </w:rPr>
        <w:t>(</w:t>
      </w:r>
      <w:hyperlink w:anchor="ref_sisk" w:history="1">
        <w:r>
          <w:rPr>
            <w:color w:val="0000FF"/>
          </w:rPr>
          <w:t>Sisk et al., 2018</w:t>
        </w:r>
      </w:hyperlink>
      <w:r>
        <w:rPr>
          <w:color w:val="0000FF"/>
        </w:rPr>
        <w:t>)</w:t>
      </w:r>
      <w:r>
        <w:t xml:space="preserve">, sedangkan eksperimen nasional menunjukkan bahwa manfaat intervensi bergantung pada konteks sekolah dan karakteristik siswa </w:t>
      </w:r>
      <w:r>
        <w:rPr>
          <w:color w:val="0000FF"/>
        </w:rPr>
        <w:t>(</w:t>
      </w:r>
      <w:hyperlink w:anchor="ref_yeager2019" w:history="1">
        <w:r>
          <w:rPr>
            <w:color w:val="0000FF"/>
          </w:rPr>
          <w:t>Yeager et al., 2019</w:t>
        </w:r>
      </w:hyperlink>
      <w:r>
        <w:rPr>
          <w:color w:val="0000FF"/>
        </w:rPr>
        <w:t>)</w:t>
      </w:r>
      <w:r>
        <w:t>.</w:t>
      </w:r>
    </w:p>
    <w:p w14:paraId="680179BB" w14:textId="77777777" w:rsidR="00BE522A" w:rsidRDefault="00000000">
      <w:r>
        <w:lastRenderedPageBreak/>
        <w:t xml:space="preserve">Penelitian yang secara langsung menguji hubungan </w:t>
      </w:r>
      <w:r>
        <w:rPr>
          <w:i/>
        </w:rPr>
        <w:t>growth mindset</w:t>
      </w:r>
      <w:r>
        <w:t xml:space="preserve"> dan </w:t>
      </w:r>
      <w:r>
        <w:rPr>
          <w:i/>
        </w:rPr>
        <w:t>grit</w:t>
      </w:r>
      <w:r>
        <w:t xml:space="preserve"> menunjukkan hasil yang beragam. Hubungan positif dilaporkan pada mahasiswa yang bekerja (R² = 0,516; </w:t>
      </w:r>
      <w:hyperlink w:anchor="ref_mayshita" w:history="1">
        <w:r>
          <w:rPr>
            <w:color w:val="0000FF"/>
          </w:rPr>
          <w:t>Mayshita et al., 2023</w:t>
        </w:r>
      </w:hyperlink>
      <w:r>
        <w:t xml:space="preserve">), mahasiswa yang aktif berorganisasi </w:t>
      </w:r>
      <w:r>
        <w:rPr>
          <w:color w:val="0000FF"/>
        </w:rPr>
        <w:t>(</w:t>
      </w:r>
      <w:hyperlink w:anchor="ref_masuda" w:history="1">
        <w:r>
          <w:rPr>
            <w:color w:val="0000FF"/>
          </w:rPr>
          <w:t>Mas’uda &amp; Amawidyati, 2023</w:t>
        </w:r>
      </w:hyperlink>
      <w:r>
        <w:rPr>
          <w:color w:val="0000FF"/>
        </w:rPr>
        <w:t>)</w:t>
      </w:r>
      <w:r>
        <w:t xml:space="preserve">, dan mahasiswa psikologi </w:t>
      </w:r>
      <w:r>
        <w:rPr>
          <w:color w:val="0000FF"/>
        </w:rPr>
        <w:t>(</w:t>
      </w:r>
      <w:hyperlink w:anchor="ref_chris" w:history="1">
        <w:r>
          <w:rPr>
            <w:color w:val="0000FF"/>
          </w:rPr>
          <w:t>Chrisantiana &amp; Sembiring, 2017</w:t>
        </w:r>
      </w:hyperlink>
      <w:r>
        <w:rPr>
          <w:color w:val="0000FF"/>
        </w:rPr>
        <w:t>)</w:t>
      </w:r>
      <w:r>
        <w:t xml:space="preserve">. Pada remaja, </w:t>
      </w:r>
      <w:r>
        <w:rPr>
          <w:i/>
        </w:rPr>
        <w:t>growth mindset</w:t>
      </w:r>
      <w:r>
        <w:t xml:space="preserve"> dan </w:t>
      </w:r>
      <w:r>
        <w:rPr>
          <w:i/>
        </w:rPr>
        <w:t>grit</w:t>
      </w:r>
      <w:r>
        <w:t xml:space="preserve"> terbukti saling memperkuat dari waktu ke waktu </w:t>
      </w:r>
      <w:r>
        <w:rPr>
          <w:color w:val="0000FF"/>
        </w:rPr>
        <w:t>(</w:t>
      </w:r>
      <w:hyperlink w:anchor="ref_park" w:history="1">
        <w:r>
          <w:rPr>
            <w:color w:val="0000FF"/>
          </w:rPr>
          <w:t>Park et al., 2020</w:t>
        </w:r>
      </w:hyperlink>
      <w:r>
        <w:rPr>
          <w:color w:val="0000FF"/>
        </w:rPr>
        <w:t>)</w:t>
      </w:r>
      <w:r>
        <w:t xml:space="preserve">, dan pada mahasiswa keduanya memprediksi keterlibatan akademik </w:t>
      </w:r>
      <w:r>
        <w:rPr>
          <w:color w:val="0000FF"/>
        </w:rPr>
        <w:t>(</w:t>
      </w:r>
      <w:hyperlink w:anchor="ref_liang" w:history="1">
        <w:r>
          <w:rPr>
            <w:color w:val="0000FF"/>
          </w:rPr>
          <w:t>Liang &amp; Wu, 2025</w:t>
        </w:r>
      </w:hyperlink>
      <w:r>
        <w:rPr>
          <w:color w:val="0000FF"/>
        </w:rPr>
        <w:t>)</w:t>
      </w:r>
      <w:r>
        <w:t xml:space="preserve">. Sebaliknya, </w:t>
      </w:r>
      <w:r>
        <w:rPr>
          <w:i/>
        </w:rPr>
        <w:t>growth mindset</w:t>
      </w:r>
      <w:r>
        <w:t xml:space="preserve"> tidak berpengaruh terhadap </w:t>
      </w:r>
      <w:r>
        <w:rPr>
          <w:i/>
        </w:rPr>
        <w:t>grit</w:t>
      </w:r>
      <w:r>
        <w:t xml:space="preserve"> pada pimpinan cabang Muhammadiyah </w:t>
      </w:r>
      <w:r>
        <w:rPr>
          <w:color w:val="0000FF"/>
        </w:rPr>
        <w:t>(</w:t>
      </w:r>
      <w:hyperlink w:anchor="ref_wahidah" w:history="1">
        <w:r>
          <w:rPr>
            <w:color w:val="0000FF"/>
          </w:rPr>
          <w:t>Wahidah et al., 2023</w:t>
        </w:r>
      </w:hyperlink>
      <w:r>
        <w:rPr>
          <w:color w:val="0000FF"/>
        </w:rPr>
        <w:t>)</w:t>
      </w:r>
      <w:r>
        <w:t xml:space="preserve"> dan tidak berkorelasi dengan </w:t>
      </w:r>
      <w:r>
        <w:rPr>
          <w:i/>
        </w:rPr>
        <w:t>grit</w:t>
      </w:r>
      <w:r>
        <w:t xml:space="preserve"> pada musisi </w:t>
      </w:r>
      <w:r>
        <w:rPr>
          <w:color w:val="0000FF"/>
        </w:rPr>
        <w:t>(</w:t>
      </w:r>
      <w:hyperlink w:anchor="ref_tan" w:history="1">
        <w:r>
          <w:rPr>
            <w:color w:val="0000FF"/>
          </w:rPr>
          <w:t>Tan et al., 2021</w:t>
        </w:r>
      </w:hyperlink>
      <w:r>
        <w:rPr>
          <w:color w:val="0000FF"/>
        </w:rPr>
        <w:t>)</w:t>
      </w:r>
      <w:r>
        <w:t xml:space="preserve">. Pada siswa di Finlandia, </w:t>
      </w:r>
      <w:r>
        <w:rPr>
          <w:i/>
        </w:rPr>
        <w:t>growth mindset</w:t>
      </w:r>
      <w:r>
        <w:t xml:space="preserve"> di kelas enam tidak memprediksi </w:t>
      </w:r>
      <w:r>
        <w:rPr>
          <w:i/>
        </w:rPr>
        <w:t>grit</w:t>
      </w:r>
      <w:r>
        <w:t xml:space="preserve">, sedangkan komitmen terhadap tujuan memprediksinya </w:t>
      </w:r>
      <w:r>
        <w:rPr>
          <w:color w:val="0000FF"/>
        </w:rPr>
        <w:t>(</w:t>
      </w:r>
      <w:hyperlink w:anchor="ref_tang" w:history="1">
        <w:r>
          <w:rPr>
            <w:color w:val="0000FF"/>
          </w:rPr>
          <w:t>Tang et al., 2019</w:t>
        </w:r>
      </w:hyperlink>
      <w:r>
        <w:rPr>
          <w:color w:val="0000FF"/>
        </w:rPr>
        <w:t>)</w:t>
      </w:r>
      <w:r>
        <w:t>.</w:t>
      </w:r>
    </w:p>
    <w:p w14:paraId="1BA7FB70" w14:textId="77777777" w:rsidR="00BE522A" w:rsidRDefault="00000000">
      <w:r>
        <w:t xml:space="preserve">Kajian-kajian tersebut sebagian besar dilakukan pada mahasiswa, pekerja, atau pimpinan organisasi, sedangkan bukti pada siswa SMK di Indonesia masih terbatas dan temuannya belum konsisten. Kesenjangan ini menunjukkan bahwa pengaruh </w:t>
      </w:r>
      <w:r>
        <w:rPr>
          <w:i/>
        </w:rPr>
        <w:t>growth mindset</w:t>
      </w:r>
      <w:r>
        <w:t xml:space="preserve"> terhadap </w:t>
      </w:r>
      <w:r>
        <w:rPr>
          <w:i/>
        </w:rPr>
        <w:t>academic grit</w:t>
      </w:r>
      <w:r>
        <w:t xml:space="preserve"> belum dapat disimpulkan secara pasti, terutama pada siswa yang menjalani pembelajaran vokasional. Kebaruan penelitian ini terletak pada pengujian pengaruh </w:t>
      </w:r>
      <w:r>
        <w:rPr>
          <w:i/>
        </w:rPr>
        <w:t>growth mindset</w:t>
      </w:r>
      <w:r>
        <w:t xml:space="preserve"> terhadap </w:t>
      </w:r>
      <w:r>
        <w:rPr>
          <w:i/>
        </w:rPr>
        <w:t>academic grit</w:t>
      </w:r>
      <w:r>
        <w:t xml:space="preserve"> pada siswa kelas X SMK Negeri 2 Sewon dengan skala yang disusun sesuai konteks siswa, diuji validitas dan reliabilitasnya, serta dianalisis dengan regresi linier sederhana beserta uji prasyarat. Penelitian ini juga menyajikan gambaran tingkat </w:t>
      </w:r>
      <w:r>
        <w:rPr>
          <w:i/>
        </w:rPr>
        <w:t>growth mindset</w:t>
      </w:r>
      <w:r>
        <w:t xml:space="preserve"> dan </w:t>
      </w:r>
      <w:r>
        <w:rPr>
          <w:i/>
        </w:rPr>
        <w:t>academic grit</w:t>
      </w:r>
      <w:r>
        <w:t xml:space="preserve"> siswa sebagai dasar bagi layanan bimbingan dan konseling. Berdasarkan kesenjangan tersebut, penelitian ini bertujuan menganalisis pengaruh </w:t>
      </w:r>
      <w:r>
        <w:rPr>
          <w:i/>
        </w:rPr>
        <w:t>growth mindset</w:t>
      </w:r>
      <w:r>
        <w:t xml:space="preserve"> terhadap </w:t>
      </w:r>
      <w:r>
        <w:rPr>
          <w:i/>
        </w:rPr>
        <w:t>academic grit</w:t>
      </w:r>
      <w:r>
        <w:t xml:space="preserve"> siswa kelas X SMK Negeri 2 Sewon. Hipotesis alternatif (Ha) menyatakan bahwa terdapat pengaruh </w:t>
      </w:r>
      <w:r>
        <w:rPr>
          <w:i/>
        </w:rPr>
        <w:t>growth mindset</w:t>
      </w:r>
      <w:r>
        <w:t xml:space="preserve"> terhadap </w:t>
      </w:r>
      <w:r>
        <w:rPr>
          <w:i/>
        </w:rPr>
        <w:t>academic grit</w:t>
      </w:r>
      <w:r>
        <w:t xml:space="preserve"> siswa, sedangkan hipotesis nol (H0) menyatakan bahwa pengaruh tersebut tidak ada.</w:t>
      </w:r>
    </w:p>
    <w:p w14:paraId="1665BEDF" w14:textId="77777777" w:rsidR="00BE522A" w:rsidRDefault="00000000">
      <w:pPr>
        <w:pStyle w:val="Judul1"/>
        <w:ind w:firstLine="0"/>
      </w:pPr>
      <w:r>
        <w:rPr>
          <w:sz w:val="28"/>
          <w:szCs w:val="28"/>
        </w:rPr>
        <w:t>Metode</w:t>
      </w:r>
    </w:p>
    <w:p w14:paraId="4BB2BC18" w14:textId="77777777" w:rsidR="00BE522A" w:rsidRDefault="00000000">
      <w:proofErr w:type="spellStart"/>
      <w:r>
        <w:t>Penelitian</w:t>
      </w:r>
      <w:proofErr w:type="spellEnd"/>
      <w:r>
        <w:t xml:space="preserve"> </w:t>
      </w:r>
      <w:proofErr w:type="spellStart"/>
      <w:r>
        <w:t>ini</w:t>
      </w:r>
      <w:proofErr w:type="spellEnd"/>
      <w:r>
        <w:t xml:space="preserve"> </w:t>
      </w:r>
      <w:proofErr w:type="spellStart"/>
      <w:r>
        <w:t>menggunakan</w:t>
      </w:r>
      <w:proofErr w:type="spellEnd"/>
      <w:r>
        <w:t xml:space="preserve"> </w:t>
      </w:r>
      <w:proofErr w:type="spellStart"/>
      <w:r>
        <w:t>pendekatan</w:t>
      </w:r>
      <w:proofErr w:type="spellEnd"/>
      <w:r>
        <w:t xml:space="preserve"> kuantitatif dengan desain </w:t>
      </w:r>
      <w:r>
        <w:rPr>
          <w:i/>
        </w:rPr>
        <w:t>ex post facto</w:t>
      </w:r>
      <w:r>
        <w:t xml:space="preserve">, yaitu desain yang menelusuri keterkaitan antarvariabel yang telah terjadi tanpa manipulasi oleh peneliti </w:t>
      </w:r>
      <w:r>
        <w:rPr>
          <w:color w:val="0000FF"/>
        </w:rPr>
        <w:t>(</w:t>
      </w:r>
      <w:hyperlink w:anchor="ref_sugiyono" w:history="1">
        <w:r>
          <w:rPr>
            <w:color w:val="0000FF"/>
          </w:rPr>
          <w:t>Sugiyono, 2017</w:t>
        </w:r>
      </w:hyperlink>
      <w:r>
        <w:rPr>
          <w:color w:val="0000FF"/>
        </w:rPr>
        <w:t>)</w:t>
      </w:r>
      <w:r>
        <w:t xml:space="preserve">. Variabel bebas adalah </w:t>
      </w:r>
      <w:r>
        <w:rPr>
          <w:i/>
        </w:rPr>
        <w:t>growth mindset</w:t>
      </w:r>
      <w:r>
        <w:t xml:space="preserve"> dan variabel terikat adalah </w:t>
      </w:r>
      <w:r>
        <w:rPr>
          <w:i/>
        </w:rPr>
        <w:t>academic grit</w:t>
      </w:r>
      <w:r>
        <w:t>. Pengaruh variabel bebas terhadap variabel terikat dianalisis dengan regresi linier sederhana. Karena tidak ada intervensi, hasil penelitian ini menggambarkan keterkaitan statistik dalam kondisi alami dan tidak dapat ditafsirkan sebagai bukti kausalitas.</w:t>
      </w:r>
    </w:p>
    <w:p w14:paraId="22E6C8C0" w14:textId="77777777" w:rsidR="00BE522A" w:rsidRDefault="00000000">
      <w:r>
        <w:rPr>
          <w:i/>
        </w:rPr>
        <w:t>Academic grit</w:t>
      </w:r>
      <w:r>
        <w:t xml:space="preserve"> didefinisikan secara operasional sebagai gabungan sifat tekad, ketangguhan, dan fokus yang diperlukan untuk mencapai tujuan akademik jangka panjang yang menantang. </w:t>
      </w:r>
      <w:r>
        <w:rPr>
          <w:i/>
        </w:rPr>
        <w:t>Growth mindset</w:t>
      </w:r>
      <w:r>
        <w:t xml:space="preserve"> didefinisikan sebagai keyakinan bahwa usaha dan dedikasi dapat meningkatkan kecerdasan dan kemampuan. Aspek </w:t>
      </w:r>
      <w:r>
        <w:rPr>
          <w:i/>
        </w:rPr>
        <w:t>growth mindset</w:t>
      </w:r>
      <w:r>
        <w:t xml:space="preserve"> meliputi keyakinan bahwa inteligensi, bakat, dan karakter dapat dikembangkan, keyakinan bahwa usaha dan kerja keras menyumbang kesuksesan, keyakinan bahwa tantangan dan kegagalan penting bagi pengembangan diri, serta keyakinan bahwa kritik dan masukan merupakan umpan balik yang berharga.</w:t>
      </w:r>
    </w:p>
    <w:p w14:paraId="24C8FF49" w14:textId="77777777" w:rsidR="00BE522A" w:rsidRDefault="00000000">
      <w:proofErr w:type="spellStart"/>
      <w:r>
        <w:t>Penelitian</w:t>
      </w:r>
      <w:proofErr w:type="spellEnd"/>
      <w:r>
        <w:t xml:space="preserve"> </w:t>
      </w:r>
      <w:proofErr w:type="spellStart"/>
      <w:r>
        <w:t>dilaksanakan</w:t>
      </w:r>
      <w:proofErr w:type="spellEnd"/>
      <w:r>
        <w:t xml:space="preserve"> di SMK Negeri 2 Sewon (Kampus Pusat), Cangkringmalang, Timbulharjo, Kecamatan Sewon, Kabupaten Bantul, Daerah Istimewa Yogyakarta, pada tahun ajaran 2024/2025. Pengumpulan data dilakukan pada 6 Maret 2025. Populasi penelitian adalah seluruh siswa kelas X sebanyak 243 siswa yang tersebar pada tujuh kelas (Tabel 1).</w:t>
      </w:r>
    </w:p>
    <w:p w14:paraId="4DF647F8" w14:textId="77777777" w:rsidR="00BE522A" w:rsidRDefault="00000000">
      <w:pPr>
        <w:keepNext/>
        <w:spacing w:before="100" w:after="60"/>
        <w:ind w:firstLine="0"/>
        <w:jc w:val="center"/>
      </w:pPr>
      <w:r>
        <w:rPr>
          <w:b/>
          <w:color w:val="20303F"/>
        </w:rPr>
        <w:lastRenderedPageBreak/>
        <w:t xml:space="preserve">Tabel 1. </w:t>
      </w:r>
      <w:r>
        <w:rPr>
          <w:color w:val="20303F"/>
        </w:rPr>
        <w:t>Populasi siswa kelas X SMK Negeri 2 Sewon tahun ajaran 2024/2025</w:t>
      </w:r>
    </w:p>
    <w:tbl>
      <w:tblPr>
        <w:tblW w:w="0" w:type="auto"/>
        <w:jc w:val="center"/>
        <w:tblLayout w:type="fixed"/>
        <w:tblLook w:val="04A0" w:firstRow="1" w:lastRow="0" w:firstColumn="1" w:lastColumn="0" w:noHBand="0" w:noVBand="1"/>
      </w:tblPr>
      <w:tblGrid>
        <w:gridCol w:w="900"/>
        <w:gridCol w:w="4200"/>
        <w:gridCol w:w="2400"/>
      </w:tblGrid>
      <w:tr w:rsidR="00BE522A" w14:paraId="7A7FCDC0" w14:textId="77777777">
        <w:trPr>
          <w:cantSplit/>
          <w:tblHeader/>
          <w:jc w:val="center"/>
        </w:trPr>
        <w:tc>
          <w:tcPr>
            <w:tcW w:w="900" w:type="dxa"/>
            <w:tcBorders>
              <w:bottom w:val="single" w:sz="10" w:space="0" w:color="8CA5B8"/>
            </w:tcBorders>
            <w:tcMar>
              <w:top w:w="74" w:type="dxa"/>
              <w:left w:w="105" w:type="dxa"/>
              <w:bottom w:w="74" w:type="dxa"/>
              <w:right w:w="105" w:type="dxa"/>
            </w:tcMar>
            <w:vAlign w:val="center"/>
          </w:tcPr>
          <w:p w14:paraId="7C33D4A0" w14:textId="77777777" w:rsidR="00BE522A" w:rsidRDefault="00000000">
            <w:pPr>
              <w:pStyle w:val="ArticleTable"/>
              <w:keepNext/>
              <w:jc w:val="center"/>
            </w:pPr>
            <w:r>
              <w:rPr>
                <w:b/>
                <w:color w:val="203140"/>
              </w:rPr>
              <w:t>No</w:t>
            </w:r>
          </w:p>
        </w:tc>
        <w:tc>
          <w:tcPr>
            <w:tcW w:w="4200" w:type="dxa"/>
            <w:tcBorders>
              <w:bottom w:val="single" w:sz="10" w:space="0" w:color="8CA5B8"/>
            </w:tcBorders>
            <w:tcMar>
              <w:top w:w="74" w:type="dxa"/>
              <w:left w:w="105" w:type="dxa"/>
              <w:bottom w:w="74" w:type="dxa"/>
              <w:right w:w="105" w:type="dxa"/>
            </w:tcMar>
            <w:vAlign w:val="center"/>
          </w:tcPr>
          <w:p w14:paraId="6B70EEAA" w14:textId="77777777" w:rsidR="00BE522A" w:rsidRDefault="00000000">
            <w:pPr>
              <w:pStyle w:val="ArticleTable"/>
              <w:keepNext/>
              <w:jc w:val="center"/>
            </w:pPr>
            <w:r>
              <w:rPr>
                <w:b/>
                <w:color w:val="203140"/>
              </w:rPr>
              <w:t>Kelas</w:t>
            </w:r>
          </w:p>
        </w:tc>
        <w:tc>
          <w:tcPr>
            <w:tcW w:w="2400" w:type="dxa"/>
            <w:tcBorders>
              <w:bottom w:val="single" w:sz="10" w:space="0" w:color="8CA5B8"/>
            </w:tcBorders>
            <w:tcMar>
              <w:top w:w="74" w:type="dxa"/>
              <w:left w:w="105" w:type="dxa"/>
              <w:bottom w:w="74" w:type="dxa"/>
              <w:right w:w="105" w:type="dxa"/>
            </w:tcMar>
            <w:vAlign w:val="center"/>
          </w:tcPr>
          <w:p w14:paraId="6680E937" w14:textId="77777777" w:rsidR="00BE522A" w:rsidRDefault="00000000">
            <w:pPr>
              <w:pStyle w:val="ArticleTable"/>
              <w:keepNext/>
              <w:jc w:val="center"/>
            </w:pPr>
            <w:r>
              <w:rPr>
                <w:b/>
                <w:color w:val="203140"/>
              </w:rPr>
              <w:t>Jumlah siswa</w:t>
            </w:r>
          </w:p>
        </w:tc>
      </w:tr>
      <w:tr w:rsidR="00BE522A" w14:paraId="14D4158A" w14:textId="77777777">
        <w:trPr>
          <w:cantSplit/>
          <w:jc w:val="center"/>
        </w:trPr>
        <w:tc>
          <w:tcPr>
            <w:tcW w:w="900" w:type="dxa"/>
            <w:tcBorders>
              <w:bottom w:val="single" w:sz="4" w:space="0" w:color="D5DEE5"/>
            </w:tcBorders>
            <w:tcMar>
              <w:top w:w="74" w:type="dxa"/>
              <w:left w:w="105" w:type="dxa"/>
              <w:bottom w:w="74" w:type="dxa"/>
              <w:right w:w="105" w:type="dxa"/>
            </w:tcMar>
            <w:vAlign w:val="center"/>
          </w:tcPr>
          <w:p w14:paraId="140538BC" w14:textId="77777777" w:rsidR="00BE522A" w:rsidRDefault="00000000">
            <w:pPr>
              <w:pStyle w:val="ArticleTable"/>
              <w:keepNext/>
              <w:jc w:val="center"/>
            </w:pPr>
            <w:r>
              <w:rPr>
                <w:color w:val="232B32"/>
              </w:rPr>
              <w:t>1</w:t>
            </w:r>
          </w:p>
        </w:tc>
        <w:tc>
          <w:tcPr>
            <w:tcW w:w="4200" w:type="dxa"/>
            <w:tcBorders>
              <w:bottom w:val="single" w:sz="4" w:space="0" w:color="D5DEE5"/>
            </w:tcBorders>
            <w:tcMar>
              <w:top w:w="74" w:type="dxa"/>
              <w:left w:w="105" w:type="dxa"/>
              <w:bottom w:w="74" w:type="dxa"/>
              <w:right w:w="105" w:type="dxa"/>
            </w:tcMar>
            <w:vAlign w:val="center"/>
          </w:tcPr>
          <w:p w14:paraId="275E530C" w14:textId="77777777" w:rsidR="00BE522A" w:rsidRDefault="00000000">
            <w:pPr>
              <w:pStyle w:val="ArticleTable"/>
              <w:keepNext/>
            </w:pPr>
            <w:r>
              <w:rPr>
                <w:color w:val="232B32"/>
              </w:rPr>
              <w:t>X DKV 1</w:t>
            </w:r>
          </w:p>
        </w:tc>
        <w:tc>
          <w:tcPr>
            <w:tcW w:w="2400" w:type="dxa"/>
            <w:tcBorders>
              <w:bottom w:val="single" w:sz="4" w:space="0" w:color="D5DEE5"/>
            </w:tcBorders>
            <w:tcMar>
              <w:top w:w="74" w:type="dxa"/>
              <w:left w:w="105" w:type="dxa"/>
              <w:bottom w:w="74" w:type="dxa"/>
              <w:right w:w="105" w:type="dxa"/>
            </w:tcMar>
            <w:vAlign w:val="center"/>
          </w:tcPr>
          <w:p w14:paraId="68A4C986" w14:textId="77777777" w:rsidR="00BE522A" w:rsidRDefault="00000000">
            <w:pPr>
              <w:pStyle w:val="ArticleTable"/>
              <w:keepNext/>
              <w:jc w:val="center"/>
            </w:pPr>
            <w:r>
              <w:rPr>
                <w:color w:val="232B32"/>
              </w:rPr>
              <w:t>34</w:t>
            </w:r>
          </w:p>
        </w:tc>
      </w:tr>
      <w:tr w:rsidR="00BE522A" w14:paraId="54B692CE" w14:textId="77777777">
        <w:trPr>
          <w:cantSplit/>
          <w:jc w:val="center"/>
        </w:trPr>
        <w:tc>
          <w:tcPr>
            <w:tcW w:w="900" w:type="dxa"/>
            <w:tcBorders>
              <w:bottom w:val="single" w:sz="4" w:space="0" w:color="D5DEE5"/>
            </w:tcBorders>
            <w:tcMar>
              <w:top w:w="74" w:type="dxa"/>
              <w:left w:w="105" w:type="dxa"/>
              <w:bottom w:w="74" w:type="dxa"/>
              <w:right w:w="105" w:type="dxa"/>
            </w:tcMar>
            <w:vAlign w:val="center"/>
          </w:tcPr>
          <w:p w14:paraId="274B0C47" w14:textId="77777777" w:rsidR="00BE522A" w:rsidRDefault="00000000">
            <w:pPr>
              <w:pStyle w:val="ArticleTable"/>
              <w:keepNext/>
              <w:jc w:val="center"/>
            </w:pPr>
            <w:r>
              <w:rPr>
                <w:color w:val="232B32"/>
              </w:rPr>
              <w:t>2</w:t>
            </w:r>
          </w:p>
        </w:tc>
        <w:tc>
          <w:tcPr>
            <w:tcW w:w="4200" w:type="dxa"/>
            <w:tcBorders>
              <w:bottom w:val="single" w:sz="4" w:space="0" w:color="D5DEE5"/>
            </w:tcBorders>
            <w:tcMar>
              <w:top w:w="74" w:type="dxa"/>
              <w:left w:w="105" w:type="dxa"/>
              <w:bottom w:w="74" w:type="dxa"/>
              <w:right w:w="105" w:type="dxa"/>
            </w:tcMar>
            <w:vAlign w:val="center"/>
          </w:tcPr>
          <w:p w14:paraId="0522BBAA" w14:textId="77777777" w:rsidR="00BE522A" w:rsidRDefault="00000000">
            <w:pPr>
              <w:pStyle w:val="ArticleTable"/>
              <w:keepNext/>
            </w:pPr>
            <w:r>
              <w:rPr>
                <w:color w:val="232B32"/>
              </w:rPr>
              <w:t>X DKV 2</w:t>
            </w:r>
          </w:p>
        </w:tc>
        <w:tc>
          <w:tcPr>
            <w:tcW w:w="2400" w:type="dxa"/>
            <w:tcBorders>
              <w:bottom w:val="single" w:sz="4" w:space="0" w:color="D5DEE5"/>
            </w:tcBorders>
            <w:tcMar>
              <w:top w:w="74" w:type="dxa"/>
              <w:left w:w="105" w:type="dxa"/>
              <w:bottom w:w="74" w:type="dxa"/>
              <w:right w:w="105" w:type="dxa"/>
            </w:tcMar>
            <w:vAlign w:val="center"/>
          </w:tcPr>
          <w:p w14:paraId="20862142" w14:textId="77777777" w:rsidR="00BE522A" w:rsidRDefault="00000000">
            <w:pPr>
              <w:pStyle w:val="ArticleTable"/>
              <w:keepNext/>
              <w:jc w:val="center"/>
            </w:pPr>
            <w:r>
              <w:rPr>
                <w:color w:val="232B32"/>
              </w:rPr>
              <w:t>35</w:t>
            </w:r>
          </w:p>
        </w:tc>
      </w:tr>
      <w:tr w:rsidR="00BE522A" w14:paraId="55CE8B27" w14:textId="77777777">
        <w:trPr>
          <w:cantSplit/>
          <w:jc w:val="center"/>
        </w:trPr>
        <w:tc>
          <w:tcPr>
            <w:tcW w:w="900" w:type="dxa"/>
            <w:tcBorders>
              <w:bottom w:val="single" w:sz="4" w:space="0" w:color="D5DEE5"/>
            </w:tcBorders>
            <w:tcMar>
              <w:top w:w="74" w:type="dxa"/>
              <w:left w:w="105" w:type="dxa"/>
              <w:bottom w:w="74" w:type="dxa"/>
              <w:right w:w="105" w:type="dxa"/>
            </w:tcMar>
            <w:vAlign w:val="center"/>
          </w:tcPr>
          <w:p w14:paraId="7B2ABAA8" w14:textId="77777777" w:rsidR="00BE522A" w:rsidRDefault="00000000">
            <w:pPr>
              <w:pStyle w:val="ArticleTable"/>
              <w:keepNext/>
              <w:jc w:val="center"/>
            </w:pPr>
            <w:r>
              <w:rPr>
                <w:color w:val="232B32"/>
              </w:rPr>
              <w:t>3</w:t>
            </w:r>
          </w:p>
        </w:tc>
        <w:tc>
          <w:tcPr>
            <w:tcW w:w="4200" w:type="dxa"/>
            <w:tcBorders>
              <w:bottom w:val="single" w:sz="4" w:space="0" w:color="D5DEE5"/>
            </w:tcBorders>
            <w:tcMar>
              <w:top w:w="74" w:type="dxa"/>
              <w:left w:w="105" w:type="dxa"/>
              <w:bottom w:w="74" w:type="dxa"/>
              <w:right w:w="105" w:type="dxa"/>
            </w:tcMar>
            <w:vAlign w:val="center"/>
          </w:tcPr>
          <w:p w14:paraId="3147A65C" w14:textId="77777777" w:rsidR="00BE522A" w:rsidRDefault="00000000">
            <w:pPr>
              <w:pStyle w:val="ArticleTable"/>
              <w:keepNext/>
            </w:pPr>
            <w:r>
              <w:rPr>
                <w:color w:val="232B32"/>
              </w:rPr>
              <w:t>X TB 1</w:t>
            </w:r>
          </w:p>
        </w:tc>
        <w:tc>
          <w:tcPr>
            <w:tcW w:w="2400" w:type="dxa"/>
            <w:tcBorders>
              <w:bottom w:val="single" w:sz="4" w:space="0" w:color="D5DEE5"/>
            </w:tcBorders>
            <w:tcMar>
              <w:top w:w="74" w:type="dxa"/>
              <w:left w:w="105" w:type="dxa"/>
              <w:bottom w:w="74" w:type="dxa"/>
              <w:right w:w="105" w:type="dxa"/>
            </w:tcMar>
            <w:vAlign w:val="center"/>
          </w:tcPr>
          <w:p w14:paraId="24C5DD7B" w14:textId="77777777" w:rsidR="00BE522A" w:rsidRDefault="00000000">
            <w:pPr>
              <w:pStyle w:val="ArticleTable"/>
              <w:keepNext/>
              <w:jc w:val="center"/>
            </w:pPr>
            <w:r>
              <w:rPr>
                <w:color w:val="232B32"/>
              </w:rPr>
              <w:t>36</w:t>
            </w:r>
          </w:p>
        </w:tc>
      </w:tr>
      <w:tr w:rsidR="00BE522A" w14:paraId="1ADE84BC" w14:textId="77777777">
        <w:trPr>
          <w:cantSplit/>
          <w:jc w:val="center"/>
        </w:trPr>
        <w:tc>
          <w:tcPr>
            <w:tcW w:w="900" w:type="dxa"/>
            <w:tcBorders>
              <w:bottom w:val="single" w:sz="4" w:space="0" w:color="D5DEE5"/>
            </w:tcBorders>
            <w:tcMar>
              <w:top w:w="74" w:type="dxa"/>
              <w:left w:w="105" w:type="dxa"/>
              <w:bottom w:w="74" w:type="dxa"/>
              <w:right w:w="105" w:type="dxa"/>
            </w:tcMar>
            <w:vAlign w:val="center"/>
          </w:tcPr>
          <w:p w14:paraId="6FBD3E57" w14:textId="77777777" w:rsidR="00BE522A" w:rsidRDefault="00000000">
            <w:pPr>
              <w:pStyle w:val="ArticleTable"/>
              <w:keepNext/>
              <w:jc w:val="center"/>
            </w:pPr>
            <w:r>
              <w:rPr>
                <w:color w:val="232B32"/>
              </w:rPr>
              <w:t>4</w:t>
            </w:r>
          </w:p>
        </w:tc>
        <w:tc>
          <w:tcPr>
            <w:tcW w:w="4200" w:type="dxa"/>
            <w:tcBorders>
              <w:bottom w:val="single" w:sz="4" w:space="0" w:color="D5DEE5"/>
            </w:tcBorders>
            <w:tcMar>
              <w:top w:w="74" w:type="dxa"/>
              <w:left w:w="105" w:type="dxa"/>
              <w:bottom w:w="74" w:type="dxa"/>
              <w:right w:w="105" w:type="dxa"/>
            </w:tcMar>
            <w:vAlign w:val="center"/>
          </w:tcPr>
          <w:p w14:paraId="4A0D9461" w14:textId="77777777" w:rsidR="00BE522A" w:rsidRDefault="00000000">
            <w:pPr>
              <w:pStyle w:val="ArticleTable"/>
              <w:keepNext/>
            </w:pPr>
            <w:r>
              <w:rPr>
                <w:color w:val="232B32"/>
              </w:rPr>
              <w:t>X TB 2</w:t>
            </w:r>
          </w:p>
        </w:tc>
        <w:tc>
          <w:tcPr>
            <w:tcW w:w="2400" w:type="dxa"/>
            <w:tcBorders>
              <w:bottom w:val="single" w:sz="4" w:space="0" w:color="D5DEE5"/>
            </w:tcBorders>
            <w:tcMar>
              <w:top w:w="74" w:type="dxa"/>
              <w:left w:w="105" w:type="dxa"/>
              <w:bottom w:w="74" w:type="dxa"/>
              <w:right w:w="105" w:type="dxa"/>
            </w:tcMar>
            <w:vAlign w:val="center"/>
          </w:tcPr>
          <w:p w14:paraId="060221FC" w14:textId="77777777" w:rsidR="00BE522A" w:rsidRDefault="00000000">
            <w:pPr>
              <w:pStyle w:val="ArticleTable"/>
              <w:keepNext/>
              <w:jc w:val="center"/>
            </w:pPr>
            <w:r>
              <w:rPr>
                <w:color w:val="232B32"/>
              </w:rPr>
              <w:t>36</w:t>
            </w:r>
          </w:p>
        </w:tc>
      </w:tr>
      <w:tr w:rsidR="00BE522A" w14:paraId="6A7B0CE1" w14:textId="77777777">
        <w:trPr>
          <w:cantSplit/>
          <w:jc w:val="center"/>
        </w:trPr>
        <w:tc>
          <w:tcPr>
            <w:tcW w:w="900" w:type="dxa"/>
            <w:tcBorders>
              <w:bottom w:val="single" w:sz="4" w:space="0" w:color="D5DEE5"/>
            </w:tcBorders>
            <w:tcMar>
              <w:top w:w="74" w:type="dxa"/>
              <w:left w:w="105" w:type="dxa"/>
              <w:bottom w:w="74" w:type="dxa"/>
              <w:right w:w="105" w:type="dxa"/>
            </w:tcMar>
            <w:vAlign w:val="center"/>
          </w:tcPr>
          <w:p w14:paraId="6596DF03" w14:textId="77777777" w:rsidR="00BE522A" w:rsidRDefault="00000000">
            <w:pPr>
              <w:pStyle w:val="ArticleTable"/>
              <w:keepNext/>
              <w:jc w:val="center"/>
            </w:pPr>
            <w:r>
              <w:rPr>
                <w:color w:val="232B32"/>
              </w:rPr>
              <w:t>5</w:t>
            </w:r>
          </w:p>
        </w:tc>
        <w:tc>
          <w:tcPr>
            <w:tcW w:w="4200" w:type="dxa"/>
            <w:tcBorders>
              <w:bottom w:val="single" w:sz="4" w:space="0" w:color="D5DEE5"/>
            </w:tcBorders>
            <w:tcMar>
              <w:top w:w="74" w:type="dxa"/>
              <w:left w:w="105" w:type="dxa"/>
              <w:bottom w:w="74" w:type="dxa"/>
              <w:right w:w="105" w:type="dxa"/>
            </w:tcMar>
            <w:vAlign w:val="center"/>
          </w:tcPr>
          <w:p w14:paraId="67F65133" w14:textId="77777777" w:rsidR="00BE522A" w:rsidRDefault="00000000">
            <w:pPr>
              <w:pStyle w:val="ArticleTable"/>
              <w:keepNext/>
            </w:pPr>
            <w:r>
              <w:rPr>
                <w:color w:val="232B32"/>
              </w:rPr>
              <w:t>X KKBT 1</w:t>
            </w:r>
          </w:p>
        </w:tc>
        <w:tc>
          <w:tcPr>
            <w:tcW w:w="2400" w:type="dxa"/>
            <w:tcBorders>
              <w:bottom w:val="single" w:sz="4" w:space="0" w:color="D5DEE5"/>
            </w:tcBorders>
            <w:tcMar>
              <w:top w:w="74" w:type="dxa"/>
              <w:left w:w="105" w:type="dxa"/>
              <w:bottom w:w="74" w:type="dxa"/>
              <w:right w:w="105" w:type="dxa"/>
            </w:tcMar>
            <w:vAlign w:val="center"/>
          </w:tcPr>
          <w:p w14:paraId="6F960CEF" w14:textId="77777777" w:rsidR="00BE522A" w:rsidRDefault="00000000">
            <w:pPr>
              <w:pStyle w:val="ArticleTable"/>
              <w:keepNext/>
              <w:jc w:val="center"/>
            </w:pPr>
            <w:r>
              <w:rPr>
                <w:color w:val="232B32"/>
              </w:rPr>
              <w:t>34</w:t>
            </w:r>
          </w:p>
        </w:tc>
      </w:tr>
      <w:tr w:rsidR="00BE522A" w14:paraId="4ED8F91D" w14:textId="77777777">
        <w:trPr>
          <w:cantSplit/>
          <w:jc w:val="center"/>
        </w:trPr>
        <w:tc>
          <w:tcPr>
            <w:tcW w:w="900" w:type="dxa"/>
            <w:tcBorders>
              <w:bottom w:val="single" w:sz="4" w:space="0" w:color="D5DEE5"/>
            </w:tcBorders>
            <w:tcMar>
              <w:top w:w="74" w:type="dxa"/>
              <w:left w:w="105" w:type="dxa"/>
              <w:bottom w:w="74" w:type="dxa"/>
              <w:right w:w="105" w:type="dxa"/>
            </w:tcMar>
            <w:vAlign w:val="center"/>
          </w:tcPr>
          <w:p w14:paraId="0DAA0EB3" w14:textId="77777777" w:rsidR="00BE522A" w:rsidRDefault="00000000">
            <w:pPr>
              <w:pStyle w:val="ArticleTable"/>
              <w:keepNext/>
              <w:jc w:val="center"/>
            </w:pPr>
            <w:r>
              <w:rPr>
                <w:color w:val="232B32"/>
              </w:rPr>
              <w:t>6</w:t>
            </w:r>
          </w:p>
        </w:tc>
        <w:tc>
          <w:tcPr>
            <w:tcW w:w="4200" w:type="dxa"/>
            <w:tcBorders>
              <w:bottom w:val="single" w:sz="4" w:space="0" w:color="D5DEE5"/>
            </w:tcBorders>
            <w:tcMar>
              <w:top w:w="74" w:type="dxa"/>
              <w:left w:w="105" w:type="dxa"/>
              <w:bottom w:w="74" w:type="dxa"/>
              <w:right w:w="105" w:type="dxa"/>
            </w:tcMar>
            <w:vAlign w:val="center"/>
          </w:tcPr>
          <w:p w14:paraId="50029F46" w14:textId="77777777" w:rsidR="00BE522A" w:rsidRDefault="00000000">
            <w:pPr>
              <w:pStyle w:val="ArticleTable"/>
              <w:keepNext/>
            </w:pPr>
            <w:r>
              <w:rPr>
                <w:color w:val="232B32"/>
              </w:rPr>
              <w:t>X KKBT 2</w:t>
            </w:r>
          </w:p>
        </w:tc>
        <w:tc>
          <w:tcPr>
            <w:tcW w:w="2400" w:type="dxa"/>
            <w:tcBorders>
              <w:bottom w:val="single" w:sz="4" w:space="0" w:color="D5DEE5"/>
            </w:tcBorders>
            <w:tcMar>
              <w:top w:w="74" w:type="dxa"/>
              <w:left w:w="105" w:type="dxa"/>
              <w:bottom w:w="74" w:type="dxa"/>
              <w:right w:w="105" w:type="dxa"/>
            </w:tcMar>
            <w:vAlign w:val="center"/>
          </w:tcPr>
          <w:p w14:paraId="0FA52DC1" w14:textId="77777777" w:rsidR="00BE522A" w:rsidRDefault="00000000">
            <w:pPr>
              <w:pStyle w:val="ArticleTable"/>
              <w:keepNext/>
              <w:jc w:val="center"/>
            </w:pPr>
            <w:r>
              <w:rPr>
                <w:color w:val="232B32"/>
              </w:rPr>
              <w:t>35</w:t>
            </w:r>
          </w:p>
        </w:tc>
      </w:tr>
      <w:tr w:rsidR="00BE522A" w14:paraId="0041E690" w14:textId="77777777">
        <w:trPr>
          <w:cantSplit/>
          <w:jc w:val="center"/>
        </w:trPr>
        <w:tc>
          <w:tcPr>
            <w:tcW w:w="900" w:type="dxa"/>
            <w:tcBorders>
              <w:bottom w:val="single" w:sz="4" w:space="0" w:color="D5DEE5"/>
            </w:tcBorders>
            <w:tcMar>
              <w:top w:w="74" w:type="dxa"/>
              <w:left w:w="105" w:type="dxa"/>
              <w:bottom w:w="74" w:type="dxa"/>
              <w:right w:w="105" w:type="dxa"/>
            </w:tcMar>
            <w:vAlign w:val="center"/>
          </w:tcPr>
          <w:p w14:paraId="74D9A99E" w14:textId="77777777" w:rsidR="00BE522A" w:rsidRDefault="00000000">
            <w:pPr>
              <w:pStyle w:val="ArticleTable"/>
              <w:keepNext/>
              <w:jc w:val="center"/>
            </w:pPr>
            <w:r>
              <w:rPr>
                <w:color w:val="232B32"/>
              </w:rPr>
              <w:t>7</w:t>
            </w:r>
          </w:p>
        </w:tc>
        <w:tc>
          <w:tcPr>
            <w:tcW w:w="4200" w:type="dxa"/>
            <w:tcBorders>
              <w:bottom w:val="single" w:sz="4" w:space="0" w:color="D5DEE5"/>
            </w:tcBorders>
            <w:tcMar>
              <w:top w:w="74" w:type="dxa"/>
              <w:left w:w="105" w:type="dxa"/>
              <w:bottom w:w="74" w:type="dxa"/>
              <w:right w:w="105" w:type="dxa"/>
            </w:tcMar>
            <w:vAlign w:val="center"/>
          </w:tcPr>
          <w:p w14:paraId="5D4D1BAA" w14:textId="77777777" w:rsidR="00BE522A" w:rsidRDefault="00000000">
            <w:pPr>
              <w:pStyle w:val="ArticleTable"/>
              <w:keepNext/>
            </w:pPr>
            <w:r>
              <w:rPr>
                <w:color w:val="232B32"/>
              </w:rPr>
              <w:t>X PSPT</w:t>
            </w:r>
          </w:p>
        </w:tc>
        <w:tc>
          <w:tcPr>
            <w:tcW w:w="2400" w:type="dxa"/>
            <w:tcBorders>
              <w:bottom w:val="single" w:sz="4" w:space="0" w:color="D5DEE5"/>
            </w:tcBorders>
            <w:tcMar>
              <w:top w:w="74" w:type="dxa"/>
              <w:left w:w="105" w:type="dxa"/>
              <w:bottom w:w="74" w:type="dxa"/>
              <w:right w:w="105" w:type="dxa"/>
            </w:tcMar>
            <w:vAlign w:val="center"/>
          </w:tcPr>
          <w:p w14:paraId="722B3FF7" w14:textId="77777777" w:rsidR="00BE522A" w:rsidRDefault="00000000">
            <w:pPr>
              <w:pStyle w:val="ArticleTable"/>
              <w:keepNext/>
              <w:jc w:val="center"/>
            </w:pPr>
            <w:r>
              <w:rPr>
                <w:color w:val="232B32"/>
              </w:rPr>
              <w:t>33</w:t>
            </w:r>
          </w:p>
        </w:tc>
      </w:tr>
      <w:tr w:rsidR="00BE522A" w14:paraId="786FB324" w14:textId="77777777">
        <w:trPr>
          <w:cantSplit/>
          <w:jc w:val="center"/>
        </w:trPr>
        <w:tc>
          <w:tcPr>
            <w:tcW w:w="900" w:type="dxa"/>
            <w:tcBorders>
              <w:bottom w:val="single" w:sz="4" w:space="0" w:color="D5DEE5"/>
            </w:tcBorders>
            <w:tcMar>
              <w:top w:w="74" w:type="dxa"/>
              <w:left w:w="105" w:type="dxa"/>
              <w:bottom w:w="74" w:type="dxa"/>
              <w:right w:w="105" w:type="dxa"/>
            </w:tcMar>
            <w:vAlign w:val="center"/>
          </w:tcPr>
          <w:p w14:paraId="7B36D124" w14:textId="77777777" w:rsidR="00BE522A" w:rsidRDefault="00BE522A">
            <w:pPr>
              <w:pStyle w:val="ArticleTable"/>
              <w:jc w:val="center"/>
            </w:pPr>
          </w:p>
        </w:tc>
        <w:tc>
          <w:tcPr>
            <w:tcW w:w="4200" w:type="dxa"/>
            <w:tcBorders>
              <w:bottom w:val="single" w:sz="4" w:space="0" w:color="D5DEE5"/>
            </w:tcBorders>
            <w:tcMar>
              <w:top w:w="74" w:type="dxa"/>
              <w:left w:w="105" w:type="dxa"/>
              <w:bottom w:w="74" w:type="dxa"/>
              <w:right w:w="105" w:type="dxa"/>
            </w:tcMar>
            <w:vAlign w:val="center"/>
          </w:tcPr>
          <w:p w14:paraId="01024014" w14:textId="77777777" w:rsidR="00BE522A" w:rsidRDefault="00000000">
            <w:pPr>
              <w:pStyle w:val="ArticleTable"/>
            </w:pPr>
            <w:r>
              <w:rPr>
                <w:b/>
                <w:color w:val="232B32"/>
              </w:rPr>
              <w:t>Total</w:t>
            </w:r>
          </w:p>
        </w:tc>
        <w:tc>
          <w:tcPr>
            <w:tcW w:w="2400" w:type="dxa"/>
            <w:tcBorders>
              <w:bottom w:val="single" w:sz="4" w:space="0" w:color="D5DEE5"/>
            </w:tcBorders>
            <w:tcMar>
              <w:top w:w="74" w:type="dxa"/>
              <w:left w:w="105" w:type="dxa"/>
              <w:bottom w:w="74" w:type="dxa"/>
              <w:right w:w="105" w:type="dxa"/>
            </w:tcMar>
            <w:vAlign w:val="center"/>
          </w:tcPr>
          <w:p w14:paraId="4E60F3A4" w14:textId="77777777" w:rsidR="00BE522A" w:rsidRDefault="00000000">
            <w:pPr>
              <w:pStyle w:val="ArticleTable"/>
              <w:jc w:val="center"/>
            </w:pPr>
            <w:r>
              <w:rPr>
                <w:b/>
                <w:color w:val="232B32"/>
              </w:rPr>
              <w:t>243</w:t>
            </w:r>
          </w:p>
        </w:tc>
      </w:tr>
    </w:tbl>
    <w:p w14:paraId="70386C34" w14:textId="77777777" w:rsidR="00BE522A" w:rsidRDefault="00BE522A">
      <w:pPr>
        <w:spacing w:after="80"/>
        <w:ind w:firstLine="0"/>
      </w:pPr>
    </w:p>
    <w:p w14:paraId="3F9BF7F5" w14:textId="77777777" w:rsidR="00BE522A" w:rsidRDefault="00000000">
      <w:r>
        <w:t xml:space="preserve">Ukuran sampel minimum dihitung dengan rumus Slovin pada batas galat 5%, yaitu n = 243 / (1 + 243 × 0,05²) = 151,2, yang dibulatkan menjadi 152 siswa. Sampel dipilih dengan teknik </w:t>
      </w:r>
      <w:r>
        <w:rPr>
          <w:i/>
        </w:rPr>
        <w:t>cluster random sampling</w:t>
      </w:r>
      <w:r>
        <w:t>, yaitu lima kelas dipilih secara acak dari tujuh kelas. Pemilihan kelas dilakukan bersama guru bimbingan dan konseling dengan mempertimbangkan ketersediaan waktu dan jadwal. Seluruh siswa pada kelas terpilih menjadi responden. Siswa yang hadir dan mengisi skala berjumlah 164 orang (62 laki-laki dan 102 perempuan), sehingga melebihi batas minimum Slovin dan seluruhnya dianalisis.</w:t>
      </w:r>
    </w:p>
    <w:p w14:paraId="37EE28AD" w14:textId="77777777" w:rsidR="00BE522A" w:rsidRDefault="00000000">
      <w:r>
        <w:t xml:space="preserve">Data </w:t>
      </w:r>
      <w:proofErr w:type="spellStart"/>
      <w:r>
        <w:t>dikumpulkan</w:t>
      </w:r>
      <w:proofErr w:type="spellEnd"/>
      <w:r>
        <w:t xml:space="preserve"> </w:t>
      </w:r>
      <w:proofErr w:type="spellStart"/>
      <w:r>
        <w:t>dengan</w:t>
      </w:r>
      <w:proofErr w:type="spellEnd"/>
      <w:r>
        <w:t xml:space="preserve"> dua skala psikologis yang disusun oleh peneliti agar sesuai dengan konteks siswa kelas X SMK Negeri 2 Sewon. Proses penyusunan meliputi uji coba awal, validasi isi oleh ahli, dan perbaikan berdasarkan masukan. Setiap skala menggunakan model Likert dengan empat pilihan jawaban, yaitu Sangat Setuju, Setuju, Tidak Setuju, dan Sangat Tidak Setuju. Pernyataan </w:t>
      </w:r>
      <w:r>
        <w:rPr>
          <w:i/>
        </w:rPr>
        <w:t>favorable</w:t>
      </w:r>
      <w:r>
        <w:t xml:space="preserve"> diberi skor 4 sampai 1, sedangkan pernyataan </w:t>
      </w:r>
      <w:r>
        <w:rPr>
          <w:i/>
        </w:rPr>
        <w:t>unfavorable</w:t>
      </w:r>
      <w:r>
        <w:t xml:space="preserve"> diberi skor 1 sampai 4. Skala </w:t>
      </w:r>
      <w:r>
        <w:rPr>
          <w:i/>
        </w:rPr>
        <w:t>academic grit</w:t>
      </w:r>
      <w:r>
        <w:t xml:space="preserve"> terdiri atas 30 butir awal dengan tiga aspek, yaitu tekad (</w:t>
      </w:r>
      <w:r>
        <w:rPr>
          <w:i/>
        </w:rPr>
        <w:t>determination</w:t>
      </w:r>
      <w:r>
        <w:t>), ketangguhan (</w:t>
      </w:r>
      <w:r>
        <w:rPr>
          <w:i/>
        </w:rPr>
        <w:t>resilience</w:t>
      </w:r>
      <w:r>
        <w:t>), dan fokus (</w:t>
      </w:r>
      <w:r>
        <w:rPr>
          <w:i/>
        </w:rPr>
        <w:t>focus</w:t>
      </w:r>
      <w:r>
        <w:t xml:space="preserve">). Skala </w:t>
      </w:r>
      <w:r>
        <w:rPr>
          <w:i/>
        </w:rPr>
        <w:t>growth mindset</w:t>
      </w:r>
      <w:r>
        <w:t xml:space="preserve"> terdiri atas 40 butir awal dengan empat aspek sebagaimana diuraikan pada bagian definisi operasional.</w:t>
      </w:r>
    </w:p>
    <w:p w14:paraId="469B4000" w14:textId="77777777" w:rsidR="00BE522A" w:rsidRDefault="00000000">
      <w:r>
        <w:t xml:space="preserve">Validitas butir diuji dengan korelasi </w:t>
      </w:r>
      <w:r>
        <w:rPr>
          <w:i/>
        </w:rPr>
        <w:t>product moment</w:t>
      </w:r>
      <w:r>
        <w:t xml:space="preserve"> pada taraf signifikansi 5%, dengan butir dinyatakan valid apabila </w:t>
      </w:r>
      <w:r>
        <w:rPr>
          <w:i/>
        </w:rPr>
        <w:t>r</w:t>
      </w:r>
      <w:r>
        <w:t xml:space="preserve"> hitung lebih besar daripada </w:t>
      </w:r>
      <w:r>
        <w:rPr>
          <w:i/>
        </w:rPr>
        <w:t>r</w:t>
      </w:r>
      <w:r>
        <w:t xml:space="preserve"> tabel (0,248). Satu butir </w:t>
      </w:r>
      <w:r>
        <w:rPr>
          <w:i/>
        </w:rPr>
        <w:t>academic grit</w:t>
      </w:r>
      <w:r>
        <w:t xml:space="preserve"> (nomor 7) dan tiga butir </w:t>
      </w:r>
      <w:r>
        <w:rPr>
          <w:i/>
        </w:rPr>
        <w:t>growth mindset</w:t>
      </w:r>
      <w:r>
        <w:t xml:space="preserve"> (nomor 20, 39, dan 40) gugur sehingga tidak digunakan. Instrumen akhir terdiri atas 29 butir </w:t>
      </w:r>
      <w:r>
        <w:rPr>
          <w:i/>
        </w:rPr>
        <w:t>academic grit</w:t>
      </w:r>
      <w:r>
        <w:t xml:space="preserve"> dan 37 butir </w:t>
      </w:r>
      <w:r>
        <w:rPr>
          <w:i/>
        </w:rPr>
        <w:t>growth mindset</w:t>
      </w:r>
      <w:r>
        <w:t xml:space="preserve"> (Tabel 2). Reliabilitas diuji dengan koefisien alfa Cronbach dan instrumen dinyatakan reliabel apabila koefisien lebih besar daripada 0,6. Koefisien alfa </w:t>
      </w:r>
      <w:r>
        <w:rPr>
          <w:i/>
        </w:rPr>
        <w:t>academic grit</w:t>
      </w:r>
      <w:r>
        <w:t xml:space="preserve"> sebesar 0,934 dan </w:t>
      </w:r>
      <w:r>
        <w:rPr>
          <w:i/>
        </w:rPr>
        <w:t>growth mindset</w:t>
      </w:r>
      <w:r>
        <w:t xml:space="preserve"> sebesar 0,935, sehingga kedua skala tergolong sangat reliabel.</w:t>
      </w:r>
    </w:p>
    <w:p w14:paraId="4CF320F5" w14:textId="77777777" w:rsidR="00BE522A" w:rsidRDefault="00000000">
      <w:pPr>
        <w:keepNext/>
        <w:spacing w:before="100" w:after="60"/>
        <w:ind w:firstLine="0"/>
        <w:jc w:val="center"/>
      </w:pPr>
      <w:r>
        <w:rPr>
          <w:b/>
          <w:color w:val="20303F"/>
        </w:rPr>
        <w:lastRenderedPageBreak/>
        <w:t xml:space="preserve">Tabel 2. </w:t>
      </w:r>
      <w:r>
        <w:rPr>
          <w:color w:val="20303F"/>
        </w:rPr>
        <w:t>Struktur instrumen setelah uji validitas dan reliabilitas</w:t>
      </w:r>
    </w:p>
    <w:tbl>
      <w:tblPr>
        <w:tblW w:w="0" w:type="auto"/>
        <w:jc w:val="center"/>
        <w:tblLayout w:type="fixed"/>
        <w:tblLook w:val="04A0" w:firstRow="1" w:lastRow="0" w:firstColumn="1" w:lastColumn="0" w:noHBand="0" w:noVBand="1"/>
      </w:tblPr>
      <w:tblGrid>
        <w:gridCol w:w="1512"/>
        <w:gridCol w:w="3628"/>
        <w:gridCol w:w="1209"/>
        <w:gridCol w:w="1512"/>
        <w:gridCol w:w="1209"/>
      </w:tblGrid>
      <w:tr w:rsidR="00BE522A" w14:paraId="21F58CEB" w14:textId="77777777">
        <w:trPr>
          <w:cantSplit/>
          <w:tblHeader/>
          <w:jc w:val="center"/>
        </w:trPr>
        <w:tc>
          <w:tcPr>
            <w:tcW w:w="1512" w:type="dxa"/>
            <w:tcBorders>
              <w:bottom w:val="single" w:sz="10" w:space="0" w:color="8CA5B8"/>
            </w:tcBorders>
            <w:tcMar>
              <w:top w:w="74" w:type="dxa"/>
              <w:left w:w="105" w:type="dxa"/>
              <w:bottom w:w="74" w:type="dxa"/>
              <w:right w:w="105" w:type="dxa"/>
            </w:tcMar>
            <w:vAlign w:val="center"/>
          </w:tcPr>
          <w:p w14:paraId="2644327E" w14:textId="77777777" w:rsidR="00BE522A" w:rsidRDefault="00000000">
            <w:pPr>
              <w:pStyle w:val="ArticleTable"/>
              <w:keepNext/>
              <w:jc w:val="center"/>
            </w:pPr>
            <w:r>
              <w:rPr>
                <w:b/>
                <w:color w:val="203140"/>
              </w:rPr>
              <w:t>Variabel</w:t>
            </w:r>
          </w:p>
        </w:tc>
        <w:tc>
          <w:tcPr>
            <w:tcW w:w="3628" w:type="dxa"/>
            <w:tcBorders>
              <w:bottom w:val="single" w:sz="10" w:space="0" w:color="8CA5B8"/>
            </w:tcBorders>
            <w:tcMar>
              <w:top w:w="74" w:type="dxa"/>
              <w:left w:w="105" w:type="dxa"/>
              <w:bottom w:w="74" w:type="dxa"/>
              <w:right w:w="105" w:type="dxa"/>
            </w:tcMar>
            <w:vAlign w:val="center"/>
          </w:tcPr>
          <w:p w14:paraId="2151DD4C" w14:textId="77777777" w:rsidR="00BE522A" w:rsidRDefault="00000000">
            <w:pPr>
              <w:pStyle w:val="ArticleTable"/>
              <w:keepNext/>
              <w:jc w:val="center"/>
            </w:pPr>
            <w:r>
              <w:rPr>
                <w:b/>
                <w:color w:val="203140"/>
              </w:rPr>
              <w:t>Aspek</w:t>
            </w:r>
          </w:p>
        </w:tc>
        <w:tc>
          <w:tcPr>
            <w:tcW w:w="1209" w:type="dxa"/>
            <w:tcBorders>
              <w:bottom w:val="single" w:sz="10" w:space="0" w:color="8CA5B8"/>
            </w:tcBorders>
            <w:tcMar>
              <w:top w:w="74" w:type="dxa"/>
              <w:left w:w="105" w:type="dxa"/>
              <w:bottom w:w="74" w:type="dxa"/>
              <w:right w:w="105" w:type="dxa"/>
            </w:tcMar>
            <w:vAlign w:val="center"/>
          </w:tcPr>
          <w:p w14:paraId="5CA37810" w14:textId="77777777" w:rsidR="00BE522A" w:rsidRDefault="00000000">
            <w:pPr>
              <w:pStyle w:val="ArticleTable"/>
              <w:keepNext/>
              <w:jc w:val="center"/>
            </w:pPr>
            <w:r>
              <w:rPr>
                <w:b/>
                <w:color w:val="203140"/>
              </w:rPr>
              <w:t>Butir awal</w:t>
            </w:r>
          </w:p>
        </w:tc>
        <w:tc>
          <w:tcPr>
            <w:tcW w:w="1512" w:type="dxa"/>
            <w:tcBorders>
              <w:bottom w:val="single" w:sz="10" w:space="0" w:color="8CA5B8"/>
            </w:tcBorders>
            <w:tcMar>
              <w:top w:w="74" w:type="dxa"/>
              <w:left w:w="105" w:type="dxa"/>
              <w:bottom w:w="74" w:type="dxa"/>
              <w:right w:w="105" w:type="dxa"/>
            </w:tcMar>
            <w:vAlign w:val="center"/>
          </w:tcPr>
          <w:p w14:paraId="0641D449" w14:textId="77777777" w:rsidR="00BE522A" w:rsidRDefault="00000000">
            <w:pPr>
              <w:pStyle w:val="ArticleTable"/>
              <w:keepNext/>
              <w:jc w:val="center"/>
            </w:pPr>
            <w:r>
              <w:rPr>
                <w:b/>
                <w:color w:val="203140"/>
              </w:rPr>
              <w:t>Butir gugur</w:t>
            </w:r>
          </w:p>
        </w:tc>
        <w:tc>
          <w:tcPr>
            <w:tcW w:w="1209" w:type="dxa"/>
            <w:tcBorders>
              <w:bottom w:val="single" w:sz="10" w:space="0" w:color="8CA5B8"/>
            </w:tcBorders>
            <w:tcMar>
              <w:top w:w="74" w:type="dxa"/>
              <w:left w:w="105" w:type="dxa"/>
              <w:bottom w:w="74" w:type="dxa"/>
              <w:right w:w="105" w:type="dxa"/>
            </w:tcMar>
            <w:vAlign w:val="center"/>
          </w:tcPr>
          <w:p w14:paraId="26799929" w14:textId="77777777" w:rsidR="00BE522A" w:rsidRDefault="00000000">
            <w:pPr>
              <w:pStyle w:val="ArticleTable"/>
              <w:keepNext/>
              <w:jc w:val="center"/>
            </w:pPr>
            <w:r>
              <w:rPr>
                <w:b/>
                <w:color w:val="203140"/>
              </w:rPr>
              <w:t>Butir akhir</w:t>
            </w:r>
          </w:p>
        </w:tc>
      </w:tr>
      <w:tr w:rsidR="00BE522A" w14:paraId="43695171" w14:textId="77777777">
        <w:trPr>
          <w:cantSplit/>
          <w:jc w:val="center"/>
        </w:trPr>
        <w:tc>
          <w:tcPr>
            <w:tcW w:w="1512" w:type="dxa"/>
            <w:tcBorders>
              <w:bottom w:val="single" w:sz="4" w:space="0" w:color="D5DEE5"/>
            </w:tcBorders>
            <w:tcMar>
              <w:top w:w="74" w:type="dxa"/>
              <w:left w:w="105" w:type="dxa"/>
              <w:bottom w:w="74" w:type="dxa"/>
              <w:right w:w="105" w:type="dxa"/>
            </w:tcMar>
            <w:vAlign w:val="center"/>
          </w:tcPr>
          <w:p w14:paraId="642BD0BC" w14:textId="77777777" w:rsidR="00BE522A" w:rsidRDefault="00000000">
            <w:pPr>
              <w:pStyle w:val="ArticleTable"/>
              <w:keepNext/>
            </w:pPr>
            <w:r>
              <w:rPr>
                <w:i/>
                <w:color w:val="232B32"/>
              </w:rPr>
              <w:t>Academic grit</w:t>
            </w:r>
          </w:p>
        </w:tc>
        <w:tc>
          <w:tcPr>
            <w:tcW w:w="3628" w:type="dxa"/>
            <w:tcBorders>
              <w:bottom w:val="single" w:sz="4" w:space="0" w:color="D5DEE5"/>
            </w:tcBorders>
            <w:tcMar>
              <w:top w:w="74" w:type="dxa"/>
              <w:left w:w="105" w:type="dxa"/>
              <w:bottom w:w="74" w:type="dxa"/>
              <w:right w:w="105" w:type="dxa"/>
            </w:tcMar>
            <w:vAlign w:val="center"/>
          </w:tcPr>
          <w:p w14:paraId="7FF3B36E" w14:textId="77777777" w:rsidR="00BE522A" w:rsidRDefault="00000000">
            <w:pPr>
              <w:pStyle w:val="ArticleTable"/>
              <w:keepNext/>
            </w:pPr>
            <w:r>
              <w:rPr>
                <w:color w:val="232B32"/>
              </w:rPr>
              <w:t>Tekad (</w:t>
            </w:r>
            <w:r>
              <w:rPr>
                <w:i/>
                <w:color w:val="232B32"/>
              </w:rPr>
              <w:t>determination</w:t>
            </w:r>
            <w:r>
              <w:rPr>
                <w:color w:val="232B32"/>
              </w:rPr>
              <w:t>)</w:t>
            </w:r>
          </w:p>
        </w:tc>
        <w:tc>
          <w:tcPr>
            <w:tcW w:w="1209" w:type="dxa"/>
            <w:tcBorders>
              <w:bottom w:val="single" w:sz="4" w:space="0" w:color="D5DEE5"/>
            </w:tcBorders>
            <w:tcMar>
              <w:top w:w="74" w:type="dxa"/>
              <w:left w:w="105" w:type="dxa"/>
              <w:bottom w:w="74" w:type="dxa"/>
              <w:right w:w="105" w:type="dxa"/>
            </w:tcMar>
            <w:vAlign w:val="center"/>
          </w:tcPr>
          <w:p w14:paraId="43377BD2" w14:textId="77777777" w:rsidR="00BE522A" w:rsidRDefault="00000000">
            <w:pPr>
              <w:pStyle w:val="ArticleTable"/>
              <w:keepNext/>
              <w:jc w:val="center"/>
            </w:pPr>
            <w:r>
              <w:rPr>
                <w:color w:val="232B32"/>
              </w:rPr>
              <w:t>10</w:t>
            </w:r>
          </w:p>
        </w:tc>
        <w:tc>
          <w:tcPr>
            <w:tcW w:w="1512" w:type="dxa"/>
            <w:tcBorders>
              <w:bottom w:val="single" w:sz="4" w:space="0" w:color="D5DEE5"/>
            </w:tcBorders>
            <w:tcMar>
              <w:top w:w="74" w:type="dxa"/>
              <w:left w:w="105" w:type="dxa"/>
              <w:bottom w:w="74" w:type="dxa"/>
              <w:right w:w="105" w:type="dxa"/>
            </w:tcMar>
            <w:vAlign w:val="center"/>
          </w:tcPr>
          <w:p w14:paraId="429600AE" w14:textId="77777777" w:rsidR="00BE522A" w:rsidRDefault="00000000">
            <w:pPr>
              <w:pStyle w:val="ArticleTable"/>
              <w:keepNext/>
              <w:jc w:val="center"/>
            </w:pPr>
            <w:r>
              <w:rPr>
                <w:color w:val="232B32"/>
              </w:rPr>
              <w:t>1 (no. 7)</w:t>
            </w:r>
          </w:p>
        </w:tc>
        <w:tc>
          <w:tcPr>
            <w:tcW w:w="1209" w:type="dxa"/>
            <w:tcBorders>
              <w:bottom w:val="single" w:sz="4" w:space="0" w:color="D5DEE5"/>
            </w:tcBorders>
            <w:tcMar>
              <w:top w:w="74" w:type="dxa"/>
              <w:left w:w="105" w:type="dxa"/>
              <w:bottom w:w="74" w:type="dxa"/>
              <w:right w:w="105" w:type="dxa"/>
            </w:tcMar>
            <w:vAlign w:val="center"/>
          </w:tcPr>
          <w:p w14:paraId="0FA4E170" w14:textId="77777777" w:rsidR="00BE522A" w:rsidRDefault="00000000">
            <w:pPr>
              <w:pStyle w:val="ArticleTable"/>
              <w:keepNext/>
              <w:jc w:val="center"/>
            </w:pPr>
            <w:r>
              <w:rPr>
                <w:color w:val="232B32"/>
              </w:rPr>
              <w:t>9</w:t>
            </w:r>
          </w:p>
        </w:tc>
      </w:tr>
      <w:tr w:rsidR="00BE522A" w14:paraId="30A0EF64" w14:textId="77777777">
        <w:trPr>
          <w:cantSplit/>
          <w:jc w:val="center"/>
        </w:trPr>
        <w:tc>
          <w:tcPr>
            <w:tcW w:w="1512" w:type="dxa"/>
            <w:tcBorders>
              <w:bottom w:val="single" w:sz="4" w:space="0" w:color="D5DEE5"/>
            </w:tcBorders>
            <w:tcMar>
              <w:top w:w="74" w:type="dxa"/>
              <w:left w:w="105" w:type="dxa"/>
              <w:bottom w:w="74" w:type="dxa"/>
              <w:right w:w="105" w:type="dxa"/>
            </w:tcMar>
            <w:vAlign w:val="center"/>
          </w:tcPr>
          <w:p w14:paraId="3A662807" w14:textId="77777777" w:rsidR="00BE522A" w:rsidRDefault="00BE522A">
            <w:pPr>
              <w:pStyle w:val="ArticleTable"/>
              <w:keepNext/>
            </w:pPr>
          </w:p>
        </w:tc>
        <w:tc>
          <w:tcPr>
            <w:tcW w:w="3628" w:type="dxa"/>
            <w:tcBorders>
              <w:bottom w:val="single" w:sz="4" w:space="0" w:color="D5DEE5"/>
            </w:tcBorders>
            <w:tcMar>
              <w:top w:w="74" w:type="dxa"/>
              <w:left w:w="105" w:type="dxa"/>
              <w:bottom w:w="74" w:type="dxa"/>
              <w:right w:w="105" w:type="dxa"/>
            </w:tcMar>
            <w:vAlign w:val="center"/>
          </w:tcPr>
          <w:p w14:paraId="7C1A756C" w14:textId="77777777" w:rsidR="00BE522A" w:rsidRDefault="00000000">
            <w:pPr>
              <w:pStyle w:val="ArticleTable"/>
              <w:keepNext/>
            </w:pPr>
            <w:r>
              <w:rPr>
                <w:color w:val="232B32"/>
              </w:rPr>
              <w:t>Ketangguhan (</w:t>
            </w:r>
            <w:r>
              <w:rPr>
                <w:i/>
                <w:color w:val="232B32"/>
              </w:rPr>
              <w:t>resilience</w:t>
            </w:r>
            <w:r>
              <w:rPr>
                <w:color w:val="232B32"/>
              </w:rPr>
              <w:t>)</w:t>
            </w:r>
          </w:p>
        </w:tc>
        <w:tc>
          <w:tcPr>
            <w:tcW w:w="1209" w:type="dxa"/>
            <w:tcBorders>
              <w:bottom w:val="single" w:sz="4" w:space="0" w:color="D5DEE5"/>
            </w:tcBorders>
            <w:tcMar>
              <w:top w:w="74" w:type="dxa"/>
              <w:left w:w="105" w:type="dxa"/>
              <w:bottom w:w="74" w:type="dxa"/>
              <w:right w:w="105" w:type="dxa"/>
            </w:tcMar>
            <w:vAlign w:val="center"/>
          </w:tcPr>
          <w:p w14:paraId="1E17AB1F" w14:textId="77777777" w:rsidR="00BE522A" w:rsidRDefault="00000000">
            <w:pPr>
              <w:pStyle w:val="ArticleTable"/>
              <w:keepNext/>
              <w:jc w:val="center"/>
            </w:pPr>
            <w:r>
              <w:rPr>
                <w:color w:val="232B32"/>
              </w:rPr>
              <w:t>10</w:t>
            </w:r>
          </w:p>
        </w:tc>
        <w:tc>
          <w:tcPr>
            <w:tcW w:w="1512" w:type="dxa"/>
            <w:tcBorders>
              <w:bottom w:val="single" w:sz="4" w:space="0" w:color="D5DEE5"/>
            </w:tcBorders>
            <w:tcMar>
              <w:top w:w="74" w:type="dxa"/>
              <w:left w:w="105" w:type="dxa"/>
              <w:bottom w:w="74" w:type="dxa"/>
              <w:right w:w="105" w:type="dxa"/>
            </w:tcMar>
            <w:vAlign w:val="center"/>
          </w:tcPr>
          <w:p w14:paraId="0D0C738B" w14:textId="77777777" w:rsidR="00BE522A" w:rsidRDefault="00000000">
            <w:pPr>
              <w:pStyle w:val="ArticleTable"/>
              <w:keepNext/>
              <w:jc w:val="center"/>
            </w:pPr>
            <w:r>
              <w:rPr>
                <w:color w:val="232B32"/>
              </w:rPr>
              <w:t>0</w:t>
            </w:r>
          </w:p>
        </w:tc>
        <w:tc>
          <w:tcPr>
            <w:tcW w:w="1209" w:type="dxa"/>
            <w:tcBorders>
              <w:bottom w:val="single" w:sz="4" w:space="0" w:color="D5DEE5"/>
            </w:tcBorders>
            <w:tcMar>
              <w:top w:w="74" w:type="dxa"/>
              <w:left w:w="105" w:type="dxa"/>
              <w:bottom w:w="74" w:type="dxa"/>
              <w:right w:w="105" w:type="dxa"/>
            </w:tcMar>
            <w:vAlign w:val="center"/>
          </w:tcPr>
          <w:p w14:paraId="31B96693" w14:textId="77777777" w:rsidR="00BE522A" w:rsidRDefault="00000000">
            <w:pPr>
              <w:pStyle w:val="ArticleTable"/>
              <w:keepNext/>
              <w:jc w:val="center"/>
            </w:pPr>
            <w:r>
              <w:rPr>
                <w:color w:val="232B32"/>
              </w:rPr>
              <w:t>10</w:t>
            </w:r>
          </w:p>
        </w:tc>
      </w:tr>
      <w:tr w:rsidR="00BE522A" w14:paraId="574C459C" w14:textId="77777777">
        <w:trPr>
          <w:cantSplit/>
          <w:jc w:val="center"/>
        </w:trPr>
        <w:tc>
          <w:tcPr>
            <w:tcW w:w="1512" w:type="dxa"/>
            <w:tcBorders>
              <w:bottom w:val="single" w:sz="4" w:space="0" w:color="D5DEE5"/>
            </w:tcBorders>
            <w:tcMar>
              <w:top w:w="74" w:type="dxa"/>
              <w:left w:w="105" w:type="dxa"/>
              <w:bottom w:w="74" w:type="dxa"/>
              <w:right w:w="105" w:type="dxa"/>
            </w:tcMar>
            <w:vAlign w:val="center"/>
          </w:tcPr>
          <w:p w14:paraId="290CAEF0" w14:textId="77777777" w:rsidR="00BE522A" w:rsidRDefault="00BE522A">
            <w:pPr>
              <w:pStyle w:val="ArticleTable"/>
              <w:keepNext/>
            </w:pPr>
          </w:p>
        </w:tc>
        <w:tc>
          <w:tcPr>
            <w:tcW w:w="3628" w:type="dxa"/>
            <w:tcBorders>
              <w:bottom w:val="single" w:sz="4" w:space="0" w:color="D5DEE5"/>
            </w:tcBorders>
            <w:tcMar>
              <w:top w:w="74" w:type="dxa"/>
              <w:left w:w="105" w:type="dxa"/>
              <w:bottom w:w="74" w:type="dxa"/>
              <w:right w:w="105" w:type="dxa"/>
            </w:tcMar>
            <w:vAlign w:val="center"/>
          </w:tcPr>
          <w:p w14:paraId="669FFE55" w14:textId="77777777" w:rsidR="00BE522A" w:rsidRDefault="00000000">
            <w:pPr>
              <w:pStyle w:val="ArticleTable"/>
              <w:keepNext/>
            </w:pPr>
            <w:r>
              <w:rPr>
                <w:color w:val="232B32"/>
              </w:rPr>
              <w:t>Fokus (</w:t>
            </w:r>
            <w:r>
              <w:rPr>
                <w:i/>
                <w:color w:val="232B32"/>
              </w:rPr>
              <w:t>focus</w:t>
            </w:r>
            <w:r>
              <w:rPr>
                <w:color w:val="232B32"/>
              </w:rPr>
              <w:t>)</w:t>
            </w:r>
          </w:p>
        </w:tc>
        <w:tc>
          <w:tcPr>
            <w:tcW w:w="1209" w:type="dxa"/>
            <w:tcBorders>
              <w:bottom w:val="single" w:sz="4" w:space="0" w:color="D5DEE5"/>
            </w:tcBorders>
            <w:tcMar>
              <w:top w:w="74" w:type="dxa"/>
              <w:left w:w="105" w:type="dxa"/>
              <w:bottom w:w="74" w:type="dxa"/>
              <w:right w:w="105" w:type="dxa"/>
            </w:tcMar>
            <w:vAlign w:val="center"/>
          </w:tcPr>
          <w:p w14:paraId="22ECF838" w14:textId="77777777" w:rsidR="00BE522A" w:rsidRDefault="00000000">
            <w:pPr>
              <w:pStyle w:val="ArticleTable"/>
              <w:keepNext/>
              <w:jc w:val="center"/>
            </w:pPr>
            <w:r>
              <w:rPr>
                <w:color w:val="232B32"/>
              </w:rPr>
              <w:t>10</w:t>
            </w:r>
          </w:p>
        </w:tc>
        <w:tc>
          <w:tcPr>
            <w:tcW w:w="1512" w:type="dxa"/>
            <w:tcBorders>
              <w:bottom w:val="single" w:sz="4" w:space="0" w:color="D5DEE5"/>
            </w:tcBorders>
            <w:tcMar>
              <w:top w:w="74" w:type="dxa"/>
              <w:left w:w="105" w:type="dxa"/>
              <w:bottom w:w="74" w:type="dxa"/>
              <w:right w:w="105" w:type="dxa"/>
            </w:tcMar>
            <w:vAlign w:val="center"/>
          </w:tcPr>
          <w:p w14:paraId="77FB410D" w14:textId="77777777" w:rsidR="00BE522A" w:rsidRDefault="00000000">
            <w:pPr>
              <w:pStyle w:val="ArticleTable"/>
              <w:keepNext/>
              <w:jc w:val="center"/>
            </w:pPr>
            <w:r>
              <w:rPr>
                <w:color w:val="232B32"/>
              </w:rPr>
              <w:t>0</w:t>
            </w:r>
          </w:p>
        </w:tc>
        <w:tc>
          <w:tcPr>
            <w:tcW w:w="1209" w:type="dxa"/>
            <w:tcBorders>
              <w:bottom w:val="single" w:sz="4" w:space="0" w:color="D5DEE5"/>
            </w:tcBorders>
            <w:tcMar>
              <w:top w:w="74" w:type="dxa"/>
              <w:left w:w="105" w:type="dxa"/>
              <w:bottom w:w="74" w:type="dxa"/>
              <w:right w:w="105" w:type="dxa"/>
            </w:tcMar>
            <w:vAlign w:val="center"/>
          </w:tcPr>
          <w:p w14:paraId="7CFB7F36" w14:textId="77777777" w:rsidR="00BE522A" w:rsidRDefault="00000000">
            <w:pPr>
              <w:pStyle w:val="ArticleTable"/>
              <w:keepNext/>
              <w:jc w:val="center"/>
            </w:pPr>
            <w:r>
              <w:rPr>
                <w:color w:val="232B32"/>
              </w:rPr>
              <w:t>10</w:t>
            </w:r>
          </w:p>
        </w:tc>
      </w:tr>
      <w:tr w:rsidR="00BE522A" w14:paraId="0D3BBFE8" w14:textId="77777777">
        <w:trPr>
          <w:cantSplit/>
          <w:jc w:val="center"/>
        </w:trPr>
        <w:tc>
          <w:tcPr>
            <w:tcW w:w="1512" w:type="dxa"/>
            <w:tcBorders>
              <w:bottom w:val="single" w:sz="4" w:space="0" w:color="D5DEE5"/>
            </w:tcBorders>
            <w:tcMar>
              <w:top w:w="74" w:type="dxa"/>
              <w:left w:w="105" w:type="dxa"/>
              <w:bottom w:w="74" w:type="dxa"/>
              <w:right w:w="105" w:type="dxa"/>
            </w:tcMar>
            <w:vAlign w:val="center"/>
          </w:tcPr>
          <w:p w14:paraId="2417496A" w14:textId="77777777" w:rsidR="00BE522A" w:rsidRDefault="00BE522A">
            <w:pPr>
              <w:pStyle w:val="ArticleTable"/>
              <w:keepNext/>
            </w:pPr>
          </w:p>
        </w:tc>
        <w:tc>
          <w:tcPr>
            <w:tcW w:w="3628" w:type="dxa"/>
            <w:tcBorders>
              <w:bottom w:val="single" w:sz="4" w:space="0" w:color="D5DEE5"/>
            </w:tcBorders>
            <w:tcMar>
              <w:top w:w="74" w:type="dxa"/>
              <w:left w:w="105" w:type="dxa"/>
              <w:bottom w:w="74" w:type="dxa"/>
              <w:right w:w="105" w:type="dxa"/>
            </w:tcMar>
            <w:vAlign w:val="center"/>
          </w:tcPr>
          <w:p w14:paraId="2C6835E2" w14:textId="77777777" w:rsidR="00BE522A" w:rsidRDefault="00000000">
            <w:pPr>
              <w:pStyle w:val="ArticleTable"/>
              <w:keepNext/>
            </w:pPr>
            <w:r>
              <w:rPr>
                <w:b/>
                <w:color w:val="232B32"/>
              </w:rPr>
              <w:t>Total (α = 0,934)</w:t>
            </w:r>
          </w:p>
        </w:tc>
        <w:tc>
          <w:tcPr>
            <w:tcW w:w="1209" w:type="dxa"/>
            <w:tcBorders>
              <w:bottom w:val="single" w:sz="4" w:space="0" w:color="D5DEE5"/>
            </w:tcBorders>
            <w:tcMar>
              <w:top w:w="74" w:type="dxa"/>
              <w:left w:w="105" w:type="dxa"/>
              <w:bottom w:w="74" w:type="dxa"/>
              <w:right w:w="105" w:type="dxa"/>
            </w:tcMar>
            <w:vAlign w:val="center"/>
          </w:tcPr>
          <w:p w14:paraId="34E7F8CB" w14:textId="77777777" w:rsidR="00BE522A" w:rsidRDefault="00000000">
            <w:pPr>
              <w:pStyle w:val="ArticleTable"/>
              <w:keepNext/>
              <w:jc w:val="center"/>
            </w:pPr>
            <w:r>
              <w:rPr>
                <w:b/>
                <w:color w:val="232B32"/>
              </w:rPr>
              <w:t>30</w:t>
            </w:r>
          </w:p>
        </w:tc>
        <w:tc>
          <w:tcPr>
            <w:tcW w:w="1512" w:type="dxa"/>
            <w:tcBorders>
              <w:bottom w:val="single" w:sz="4" w:space="0" w:color="D5DEE5"/>
            </w:tcBorders>
            <w:tcMar>
              <w:top w:w="74" w:type="dxa"/>
              <w:left w:w="105" w:type="dxa"/>
              <w:bottom w:w="74" w:type="dxa"/>
              <w:right w:w="105" w:type="dxa"/>
            </w:tcMar>
            <w:vAlign w:val="center"/>
          </w:tcPr>
          <w:p w14:paraId="4240477B" w14:textId="77777777" w:rsidR="00BE522A" w:rsidRDefault="00000000">
            <w:pPr>
              <w:pStyle w:val="ArticleTable"/>
              <w:keepNext/>
              <w:jc w:val="center"/>
            </w:pPr>
            <w:r>
              <w:rPr>
                <w:b/>
                <w:color w:val="232B32"/>
              </w:rPr>
              <w:t>1</w:t>
            </w:r>
          </w:p>
        </w:tc>
        <w:tc>
          <w:tcPr>
            <w:tcW w:w="1209" w:type="dxa"/>
            <w:tcBorders>
              <w:bottom w:val="single" w:sz="4" w:space="0" w:color="D5DEE5"/>
            </w:tcBorders>
            <w:tcMar>
              <w:top w:w="74" w:type="dxa"/>
              <w:left w:w="105" w:type="dxa"/>
              <w:bottom w:w="74" w:type="dxa"/>
              <w:right w:w="105" w:type="dxa"/>
            </w:tcMar>
            <w:vAlign w:val="center"/>
          </w:tcPr>
          <w:p w14:paraId="37031B51" w14:textId="77777777" w:rsidR="00BE522A" w:rsidRDefault="00000000">
            <w:pPr>
              <w:pStyle w:val="ArticleTable"/>
              <w:keepNext/>
              <w:jc w:val="center"/>
            </w:pPr>
            <w:r>
              <w:rPr>
                <w:b/>
                <w:color w:val="232B32"/>
              </w:rPr>
              <w:t>29</w:t>
            </w:r>
          </w:p>
        </w:tc>
      </w:tr>
      <w:tr w:rsidR="00BE522A" w14:paraId="07956168" w14:textId="77777777">
        <w:trPr>
          <w:cantSplit/>
          <w:jc w:val="center"/>
        </w:trPr>
        <w:tc>
          <w:tcPr>
            <w:tcW w:w="1512" w:type="dxa"/>
            <w:tcBorders>
              <w:bottom w:val="single" w:sz="4" w:space="0" w:color="D5DEE5"/>
            </w:tcBorders>
            <w:tcMar>
              <w:top w:w="74" w:type="dxa"/>
              <w:left w:w="105" w:type="dxa"/>
              <w:bottom w:w="74" w:type="dxa"/>
              <w:right w:w="105" w:type="dxa"/>
            </w:tcMar>
            <w:vAlign w:val="center"/>
          </w:tcPr>
          <w:p w14:paraId="483DD3B7" w14:textId="77777777" w:rsidR="00BE522A" w:rsidRDefault="00000000">
            <w:pPr>
              <w:pStyle w:val="ArticleTable"/>
              <w:keepNext/>
            </w:pPr>
            <w:r>
              <w:rPr>
                <w:i/>
                <w:color w:val="232B32"/>
              </w:rPr>
              <w:t>Growth mindset</w:t>
            </w:r>
          </w:p>
        </w:tc>
        <w:tc>
          <w:tcPr>
            <w:tcW w:w="3628" w:type="dxa"/>
            <w:tcBorders>
              <w:bottom w:val="single" w:sz="4" w:space="0" w:color="D5DEE5"/>
            </w:tcBorders>
            <w:tcMar>
              <w:top w:w="74" w:type="dxa"/>
              <w:left w:w="105" w:type="dxa"/>
              <w:bottom w:w="74" w:type="dxa"/>
              <w:right w:w="105" w:type="dxa"/>
            </w:tcMar>
            <w:vAlign w:val="center"/>
          </w:tcPr>
          <w:p w14:paraId="06EFE24F" w14:textId="77777777" w:rsidR="00BE522A" w:rsidRDefault="00000000">
            <w:pPr>
              <w:pStyle w:val="ArticleTable"/>
              <w:keepNext/>
            </w:pPr>
            <w:r>
              <w:rPr>
                <w:color w:val="232B32"/>
              </w:rPr>
              <w:t>Keyakinan bahwa inteligensi, bakat, dan karakter dapat dikembangkan</w:t>
            </w:r>
          </w:p>
        </w:tc>
        <w:tc>
          <w:tcPr>
            <w:tcW w:w="1209" w:type="dxa"/>
            <w:tcBorders>
              <w:bottom w:val="single" w:sz="4" w:space="0" w:color="D5DEE5"/>
            </w:tcBorders>
            <w:tcMar>
              <w:top w:w="74" w:type="dxa"/>
              <w:left w:w="105" w:type="dxa"/>
              <w:bottom w:w="74" w:type="dxa"/>
              <w:right w:w="105" w:type="dxa"/>
            </w:tcMar>
            <w:vAlign w:val="center"/>
          </w:tcPr>
          <w:p w14:paraId="3BC9A779" w14:textId="77777777" w:rsidR="00BE522A" w:rsidRDefault="00000000">
            <w:pPr>
              <w:pStyle w:val="ArticleTable"/>
              <w:keepNext/>
              <w:jc w:val="center"/>
            </w:pPr>
            <w:r>
              <w:rPr>
                <w:color w:val="232B32"/>
              </w:rPr>
              <w:t>10</w:t>
            </w:r>
          </w:p>
        </w:tc>
        <w:tc>
          <w:tcPr>
            <w:tcW w:w="1512" w:type="dxa"/>
            <w:tcBorders>
              <w:bottom w:val="single" w:sz="4" w:space="0" w:color="D5DEE5"/>
            </w:tcBorders>
            <w:tcMar>
              <w:top w:w="74" w:type="dxa"/>
              <w:left w:w="105" w:type="dxa"/>
              <w:bottom w:w="74" w:type="dxa"/>
              <w:right w:w="105" w:type="dxa"/>
            </w:tcMar>
            <w:vAlign w:val="center"/>
          </w:tcPr>
          <w:p w14:paraId="422A9E54" w14:textId="77777777" w:rsidR="00BE522A" w:rsidRDefault="00000000">
            <w:pPr>
              <w:pStyle w:val="ArticleTable"/>
              <w:keepNext/>
              <w:jc w:val="center"/>
            </w:pPr>
            <w:r>
              <w:rPr>
                <w:color w:val="232B32"/>
              </w:rPr>
              <w:t>0</w:t>
            </w:r>
          </w:p>
        </w:tc>
        <w:tc>
          <w:tcPr>
            <w:tcW w:w="1209" w:type="dxa"/>
            <w:tcBorders>
              <w:bottom w:val="single" w:sz="4" w:space="0" w:color="D5DEE5"/>
            </w:tcBorders>
            <w:tcMar>
              <w:top w:w="74" w:type="dxa"/>
              <w:left w:w="105" w:type="dxa"/>
              <w:bottom w:w="74" w:type="dxa"/>
              <w:right w:w="105" w:type="dxa"/>
            </w:tcMar>
            <w:vAlign w:val="center"/>
          </w:tcPr>
          <w:p w14:paraId="7808E064" w14:textId="77777777" w:rsidR="00BE522A" w:rsidRDefault="00000000">
            <w:pPr>
              <w:pStyle w:val="ArticleTable"/>
              <w:keepNext/>
              <w:jc w:val="center"/>
            </w:pPr>
            <w:r>
              <w:rPr>
                <w:color w:val="232B32"/>
              </w:rPr>
              <w:t>10</w:t>
            </w:r>
          </w:p>
        </w:tc>
      </w:tr>
      <w:tr w:rsidR="00BE522A" w14:paraId="77845B90" w14:textId="77777777">
        <w:trPr>
          <w:cantSplit/>
          <w:jc w:val="center"/>
        </w:trPr>
        <w:tc>
          <w:tcPr>
            <w:tcW w:w="1512" w:type="dxa"/>
            <w:tcBorders>
              <w:bottom w:val="single" w:sz="4" w:space="0" w:color="D5DEE5"/>
            </w:tcBorders>
            <w:tcMar>
              <w:top w:w="74" w:type="dxa"/>
              <w:left w:w="105" w:type="dxa"/>
              <w:bottom w:w="74" w:type="dxa"/>
              <w:right w:w="105" w:type="dxa"/>
            </w:tcMar>
            <w:vAlign w:val="center"/>
          </w:tcPr>
          <w:p w14:paraId="08C676AD" w14:textId="77777777" w:rsidR="00BE522A" w:rsidRDefault="00BE522A">
            <w:pPr>
              <w:pStyle w:val="ArticleTable"/>
              <w:keepNext/>
            </w:pPr>
          </w:p>
        </w:tc>
        <w:tc>
          <w:tcPr>
            <w:tcW w:w="3628" w:type="dxa"/>
            <w:tcBorders>
              <w:bottom w:val="single" w:sz="4" w:space="0" w:color="D5DEE5"/>
            </w:tcBorders>
            <w:tcMar>
              <w:top w:w="74" w:type="dxa"/>
              <w:left w:w="105" w:type="dxa"/>
              <w:bottom w:w="74" w:type="dxa"/>
              <w:right w:w="105" w:type="dxa"/>
            </w:tcMar>
            <w:vAlign w:val="center"/>
          </w:tcPr>
          <w:p w14:paraId="40C37E8C" w14:textId="77777777" w:rsidR="00BE522A" w:rsidRDefault="00000000">
            <w:pPr>
              <w:pStyle w:val="ArticleTable"/>
              <w:keepNext/>
            </w:pPr>
            <w:r>
              <w:rPr>
                <w:color w:val="232B32"/>
              </w:rPr>
              <w:t>Usaha dan kerja keras menyumbang kesuksesan</w:t>
            </w:r>
          </w:p>
        </w:tc>
        <w:tc>
          <w:tcPr>
            <w:tcW w:w="1209" w:type="dxa"/>
            <w:tcBorders>
              <w:bottom w:val="single" w:sz="4" w:space="0" w:color="D5DEE5"/>
            </w:tcBorders>
            <w:tcMar>
              <w:top w:w="74" w:type="dxa"/>
              <w:left w:w="105" w:type="dxa"/>
              <w:bottom w:w="74" w:type="dxa"/>
              <w:right w:w="105" w:type="dxa"/>
            </w:tcMar>
            <w:vAlign w:val="center"/>
          </w:tcPr>
          <w:p w14:paraId="26DAA770" w14:textId="77777777" w:rsidR="00BE522A" w:rsidRDefault="00000000">
            <w:pPr>
              <w:pStyle w:val="ArticleTable"/>
              <w:keepNext/>
              <w:jc w:val="center"/>
            </w:pPr>
            <w:r>
              <w:rPr>
                <w:color w:val="232B32"/>
              </w:rPr>
              <w:t>10</w:t>
            </w:r>
          </w:p>
        </w:tc>
        <w:tc>
          <w:tcPr>
            <w:tcW w:w="1512" w:type="dxa"/>
            <w:tcBorders>
              <w:bottom w:val="single" w:sz="4" w:space="0" w:color="D5DEE5"/>
            </w:tcBorders>
            <w:tcMar>
              <w:top w:w="74" w:type="dxa"/>
              <w:left w:w="105" w:type="dxa"/>
              <w:bottom w:w="74" w:type="dxa"/>
              <w:right w:w="105" w:type="dxa"/>
            </w:tcMar>
            <w:vAlign w:val="center"/>
          </w:tcPr>
          <w:p w14:paraId="2D5640B7" w14:textId="77777777" w:rsidR="00BE522A" w:rsidRDefault="00000000">
            <w:pPr>
              <w:pStyle w:val="ArticleTable"/>
              <w:keepNext/>
              <w:jc w:val="center"/>
            </w:pPr>
            <w:r>
              <w:rPr>
                <w:color w:val="232B32"/>
              </w:rPr>
              <w:t>1 (no. 20)</w:t>
            </w:r>
          </w:p>
        </w:tc>
        <w:tc>
          <w:tcPr>
            <w:tcW w:w="1209" w:type="dxa"/>
            <w:tcBorders>
              <w:bottom w:val="single" w:sz="4" w:space="0" w:color="D5DEE5"/>
            </w:tcBorders>
            <w:tcMar>
              <w:top w:w="74" w:type="dxa"/>
              <w:left w:w="105" w:type="dxa"/>
              <w:bottom w:w="74" w:type="dxa"/>
              <w:right w:w="105" w:type="dxa"/>
            </w:tcMar>
            <w:vAlign w:val="center"/>
          </w:tcPr>
          <w:p w14:paraId="60FD7BD4" w14:textId="77777777" w:rsidR="00BE522A" w:rsidRDefault="00000000">
            <w:pPr>
              <w:pStyle w:val="ArticleTable"/>
              <w:keepNext/>
              <w:jc w:val="center"/>
            </w:pPr>
            <w:r>
              <w:rPr>
                <w:color w:val="232B32"/>
              </w:rPr>
              <w:t>9</w:t>
            </w:r>
          </w:p>
        </w:tc>
      </w:tr>
      <w:tr w:rsidR="00BE522A" w14:paraId="503DC644" w14:textId="77777777">
        <w:trPr>
          <w:cantSplit/>
          <w:jc w:val="center"/>
        </w:trPr>
        <w:tc>
          <w:tcPr>
            <w:tcW w:w="1512" w:type="dxa"/>
            <w:tcBorders>
              <w:bottom w:val="single" w:sz="4" w:space="0" w:color="D5DEE5"/>
            </w:tcBorders>
            <w:tcMar>
              <w:top w:w="74" w:type="dxa"/>
              <w:left w:w="105" w:type="dxa"/>
              <w:bottom w:w="74" w:type="dxa"/>
              <w:right w:w="105" w:type="dxa"/>
            </w:tcMar>
            <w:vAlign w:val="center"/>
          </w:tcPr>
          <w:p w14:paraId="2BB9A491" w14:textId="77777777" w:rsidR="00BE522A" w:rsidRDefault="00BE522A">
            <w:pPr>
              <w:pStyle w:val="ArticleTable"/>
              <w:keepNext/>
            </w:pPr>
          </w:p>
        </w:tc>
        <w:tc>
          <w:tcPr>
            <w:tcW w:w="3628" w:type="dxa"/>
            <w:tcBorders>
              <w:bottom w:val="single" w:sz="4" w:space="0" w:color="D5DEE5"/>
            </w:tcBorders>
            <w:tcMar>
              <w:top w:w="74" w:type="dxa"/>
              <w:left w:w="105" w:type="dxa"/>
              <w:bottom w:w="74" w:type="dxa"/>
              <w:right w:w="105" w:type="dxa"/>
            </w:tcMar>
            <w:vAlign w:val="center"/>
          </w:tcPr>
          <w:p w14:paraId="0BEB0EE5" w14:textId="77777777" w:rsidR="00BE522A" w:rsidRDefault="00000000">
            <w:pPr>
              <w:pStyle w:val="ArticleTable"/>
              <w:keepNext/>
            </w:pPr>
            <w:r>
              <w:rPr>
                <w:color w:val="232B32"/>
              </w:rPr>
              <w:t>Tantangan dan kegagalan penting bagi pengembangan diri</w:t>
            </w:r>
          </w:p>
        </w:tc>
        <w:tc>
          <w:tcPr>
            <w:tcW w:w="1209" w:type="dxa"/>
            <w:tcBorders>
              <w:bottom w:val="single" w:sz="4" w:space="0" w:color="D5DEE5"/>
            </w:tcBorders>
            <w:tcMar>
              <w:top w:w="74" w:type="dxa"/>
              <w:left w:w="105" w:type="dxa"/>
              <w:bottom w:w="74" w:type="dxa"/>
              <w:right w:w="105" w:type="dxa"/>
            </w:tcMar>
            <w:vAlign w:val="center"/>
          </w:tcPr>
          <w:p w14:paraId="53A70DDB" w14:textId="77777777" w:rsidR="00BE522A" w:rsidRDefault="00000000">
            <w:pPr>
              <w:pStyle w:val="ArticleTable"/>
              <w:keepNext/>
              <w:jc w:val="center"/>
            </w:pPr>
            <w:r>
              <w:rPr>
                <w:color w:val="232B32"/>
              </w:rPr>
              <w:t>10</w:t>
            </w:r>
          </w:p>
        </w:tc>
        <w:tc>
          <w:tcPr>
            <w:tcW w:w="1512" w:type="dxa"/>
            <w:tcBorders>
              <w:bottom w:val="single" w:sz="4" w:space="0" w:color="D5DEE5"/>
            </w:tcBorders>
            <w:tcMar>
              <w:top w:w="74" w:type="dxa"/>
              <w:left w:w="105" w:type="dxa"/>
              <w:bottom w:w="74" w:type="dxa"/>
              <w:right w:w="105" w:type="dxa"/>
            </w:tcMar>
            <w:vAlign w:val="center"/>
          </w:tcPr>
          <w:p w14:paraId="4ACB59E8" w14:textId="77777777" w:rsidR="00BE522A" w:rsidRDefault="00000000">
            <w:pPr>
              <w:pStyle w:val="ArticleTable"/>
              <w:keepNext/>
              <w:jc w:val="center"/>
            </w:pPr>
            <w:r>
              <w:rPr>
                <w:color w:val="232B32"/>
              </w:rPr>
              <w:t>0</w:t>
            </w:r>
          </w:p>
        </w:tc>
        <w:tc>
          <w:tcPr>
            <w:tcW w:w="1209" w:type="dxa"/>
            <w:tcBorders>
              <w:bottom w:val="single" w:sz="4" w:space="0" w:color="D5DEE5"/>
            </w:tcBorders>
            <w:tcMar>
              <w:top w:w="74" w:type="dxa"/>
              <w:left w:w="105" w:type="dxa"/>
              <w:bottom w:w="74" w:type="dxa"/>
              <w:right w:w="105" w:type="dxa"/>
            </w:tcMar>
            <w:vAlign w:val="center"/>
          </w:tcPr>
          <w:p w14:paraId="764500D4" w14:textId="77777777" w:rsidR="00BE522A" w:rsidRDefault="00000000">
            <w:pPr>
              <w:pStyle w:val="ArticleTable"/>
              <w:keepNext/>
              <w:jc w:val="center"/>
            </w:pPr>
            <w:r>
              <w:rPr>
                <w:color w:val="232B32"/>
              </w:rPr>
              <w:t>10</w:t>
            </w:r>
          </w:p>
        </w:tc>
      </w:tr>
      <w:tr w:rsidR="00BE522A" w14:paraId="4BB98FC8" w14:textId="77777777">
        <w:trPr>
          <w:cantSplit/>
          <w:jc w:val="center"/>
        </w:trPr>
        <w:tc>
          <w:tcPr>
            <w:tcW w:w="1512" w:type="dxa"/>
            <w:tcBorders>
              <w:bottom w:val="single" w:sz="4" w:space="0" w:color="D5DEE5"/>
            </w:tcBorders>
            <w:tcMar>
              <w:top w:w="74" w:type="dxa"/>
              <w:left w:w="105" w:type="dxa"/>
              <w:bottom w:w="74" w:type="dxa"/>
              <w:right w:w="105" w:type="dxa"/>
            </w:tcMar>
            <w:vAlign w:val="center"/>
          </w:tcPr>
          <w:p w14:paraId="6CEC0547" w14:textId="77777777" w:rsidR="00BE522A" w:rsidRDefault="00BE522A">
            <w:pPr>
              <w:pStyle w:val="ArticleTable"/>
              <w:keepNext/>
            </w:pPr>
          </w:p>
        </w:tc>
        <w:tc>
          <w:tcPr>
            <w:tcW w:w="3628" w:type="dxa"/>
            <w:tcBorders>
              <w:bottom w:val="single" w:sz="4" w:space="0" w:color="D5DEE5"/>
            </w:tcBorders>
            <w:tcMar>
              <w:top w:w="74" w:type="dxa"/>
              <w:left w:w="105" w:type="dxa"/>
              <w:bottom w:w="74" w:type="dxa"/>
              <w:right w:w="105" w:type="dxa"/>
            </w:tcMar>
            <w:vAlign w:val="center"/>
          </w:tcPr>
          <w:p w14:paraId="3593682F" w14:textId="77777777" w:rsidR="00BE522A" w:rsidRDefault="00000000">
            <w:pPr>
              <w:pStyle w:val="ArticleTable"/>
              <w:keepNext/>
            </w:pPr>
            <w:r>
              <w:rPr>
                <w:color w:val="232B32"/>
              </w:rPr>
              <w:t>Kritik dan masukan sebagai umpan balik berharga</w:t>
            </w:r>
          </w:p>
        </w:tc>
        <w:tc>
          <w:tcPr>
            <w:tcW w:w="1209" w:type="dxa"/>
            <w:tcBorders>
              <w:bottom w:val="single" w:sz="4" w:space="0" w:color="D5DEE5"/>
            </w:tcBorders>
            <w:tcMar>
              <w:top w:w="74" w:type="dxa"/>
              <w:left w:w="105" w:type="dxa"/>
              <w:bottom w:w="74" w:type="dxa"/>
              <w:right w:w="105" w:type="dxa"/>
            </w:tcMar>
            <w:vAlign w:val="center"/>
          </w:tcPr>
          <w:p w14:paraId="7310A26C" w14:textId="77777777" w:rsidR="00BE522A" w:rsidRDefault="00000000">
            <w:pPr>
              <w:pStyle w:val="ArticleTable"/>
              <w:keepNext/>
              <w:jc w:val="center"/>
            </w:pPr>
            <w:r>
              <w:rPr>
                <w:color w:val="232B32"/>
              </w:rPr>
              <w:t>10</w:t>
            </w:r>
          </w:p>
        </w:tc>
        <w:tc>
          <w:tcPr>
            <w:tcW w:w="1512" w:type="dxa"/>
            <w:tcBorders>
              <w:bottom w:val="single" w:sz="4" w:space="0" w:color="D5DEE5"/>
            </w:tcBorders>
            <w:tcMar>
              <w:top w:w="74" w:type="dxa"/>
              <w:left w:w="105" w:type="dxa"/>
              <w:bottom w:w="74" w:type="dxa"/>
              <w:right w:w="105" w:type="dxa"/>
            </w:tcMar>
            <w:vAlign w:val="center"/>
          </w:tcPr>
          <w:p w14:paraId="6033F0C9" w14:textId="77777777" w:rsidR="00BE522A" w:rsidRDefault="00000000">
            <w:pPr>
              <w:pStyle w:val="ArticleTable"/>
              <w:keepNext/>
              <w:jc w:val="center"/>
            </w:pPr>
            <w:r>
              <w:rPr>
                <w:color w:val="232B32"/>
              </w:rPr>
              <w:t>2 (no. 39, 40)</w:t>
            </w:r>
          </w:p>
        </w:tc>
        <w:tc>
          <w:tcPr>
            <w:tcW w:w="1209" w:type="dxa"/>
            <w:tcBorders>
              <w:bottom w:val="single" w:sz="4" w:space="0" w:color="D5DEE5"/>
            </w:tcBorders>
            <w:tcMar>
              <w:top w:w="74" w:type="dxa"/>
              <w:left w:w="105" w:type="dxa"/>
              <w:bottom w:w="74" w:type="dxa"/>
              <w:right w:w="105" w:type="dxa"/>
            </w:tcMar>
            <w:vAlign w:val="center"/>
          </w:tcPr>
          <w:p w14:paraId="43A929E8" w14:textId="77777777" w:rsidR="00BE522A" w:rsidRDefault="00000000">
            <w:pPr>
              <w:pStyle w:val="ArticleTable"/>
              <w:keepNext/>
              <w:jc w:val="center"/>
            </w:pPr>
            <w:r>
              <w:rPr>
                <w:color w:val="232B32"/>
              </w:rPr>
              <w:t>8</w:t>
            </w:r>
          </w:p>
        </w:tc>
      </w:tr>
      <w:tr w:rsidR="00BE522A" w14:paraId="4D912A23" w14:textId="77777777">
        <w:trPr>
          <w:cantSplit/>
          <w:jc w:val="center"/>
        </w:trPr>
        <w:tc>
          <w:tcPr>
            <w:tcW w:w="1512" w:type="dxa"/>
            <w:tcBorders>
              <w:bottom w:val="single" w:sz="4" w:space="0" w:color="D5DEE5"/>
            </w:tcBorders>
            <w:tcMar>
              <w:top w:w="74" w:type="dxa"/>
              <w:left w:w="105" w:type="dxa"/>
              <w:bottom w:w="74" w:type="dxa"/>
              <w:right w:w="105" w:type="dxa"/>
            </w:tcMar>
            <w:vAlign w:val="center"/>
          </w:tcPr>
          <w:p w14:paraId="28CDD814" w14:textId="77777777" w:rsidR="00BE522A" w:rsidRDefault="00BE522A">
            <w:pPr>
              <w:pStyle w:val="ArticleTable"/>
            </w:pPr>
          </w:p>
        </w:tc>
        <w:tc>
          <w:tcPr>
            <w:tcW w:w="3628" w:type="dxa"/>
            <w:tcBorders>
              <w:bottom w:val="single" w:sz="4" w:space="0" w:color="D5DEE5"/>
            </w:tcBorders>
            <w:tcMar>
              <w:top w:w="74" w:type="dxa"/>
              <w:left w:w="105" w:type="dxa"/>
              <w:bottom w:w="74" w:type="dxa"/>
              <w:right w:w="105" w:type="dxa"/>
            </w:tcMar>
            <w:vAlign w:val="center"/>
          </w:tcPr>
          <w:p w14:paraId="7BE74ABB" w14:textId="77777777" w:rsidR="00BE522A" w:rsidRDefault="00000000">
            <w:pPr>
              <w:pStyle w:val="ArticleTable"/>
            </w:pPr>
            <w:r>
              <w:rPr>
                <w:b/>
                <w:color w:val="232B32"/>
              </w:rPr>
              <w:t>Total (α = 0,935)</w:t>
            </w:r>
          </w:p>
        </w:tc>
        <w:tc>
          <w:tcPr>
            <w:tcW w:w="1209" w:type="dxa"/>
            <w:tcBorders>
              <w:bottom w:val="single" w:sz="4" w:space="0" w:color="D5DEE5"/>
            </w:tcBorders>
            <w:tcMar>
              <w:top w:w="74" w:type="dxa"/>
              <w:left w:w="105" w:type="dxa"/>
              <w:bottom w:w="74" w:type="dxa"/>
              <w:right w:w="105" w:type="dxa"/>
            </w:tcMar>
            <w:vAlign w:val="center"/>
          </w:tcPr>
          <w:p w14:paraId="732AF578" w14:textId="77777777" w:rsidR="00BE522A" w:rsidRDefault="00000000">
            <w:pPr>
              <w:pStyle w:val="ArticleTable"/>
              <w:jc w:val="center"/>
            </w:pPr>
            <w:r>
              <w:rPr>
                <w:b/>
                <w:color w:val="232B32"/>
              </w:rPr>
              <w:t>40</w:t>
            </w:r>
          </w:p>
        </w:tc>
        <w:tc>
          <w:tcPr>
            <w:tcW w:w="1512" w:type="dxa"/>
            <w:tcBorders>
              <w:bottom w:val="single" w:sz="4" w:space="0" w:color="D5DEE5"/>
            </w:tcBorders>
            <w:tcMar>
              <w:top w:w="74" w:type="dxa"/>
              <w:left w:w="105" w:type="dxa"/>
              <w:bottom w:w="74" w:type="dxa"/>
              <w:right w:w="105" w:type="dxa"/>
            </w:tcMar>
            <w:vAlign w:val="center"/>
          </w:tcPr>
          <w:p w14:paraId="52180171" w14:textId="77777777" w:rsidR="00BE522A" w:rsidRDefault="00000000">
            <w:pPr>
              <w:pStyle w:val="ArticleTable"/>
              <w:jc w:val="center"/>
            </w:pPr>
            <w:r>
              <w:rPr>
                <w:b/>
                <w:color w:val="232B32"/>
              </w:rPr>
              <w:t>3</w:t>
            </w:r>
          </w:p>
        </w:tc>
        <w:tc>
          <w:tcPr>
            <w:tcW w:w="1209" w:type="dxa"/>
            <w:tcBorders>
              <w:bottom w:val="single" w:sz="4" w:space="0" w:color="D5DEE5"/>
            </w:tcBorders>
            <w:tcMar>
              <w:top w:w="74" w:type="dxa"/>
              <w:left w:w="105" w:type="dxa"/>
              <w:bottom w:w="74" w:type="dxa"/>
              <w:right w:w="105" w:type="dxa"/>
            </w:tcMar>
            <w:vAlign w:val="center"/>
          </w:tcPr>
          <w:p w14:paraId="7DFC27D6" w14:textId="77777777" w:rsidR="00BE522A" w:rsidRDefault="00000000">
            <w:pPr>
              <w:pStyle w:val="ArticleTable"/>
              <w:jc w:val="center"/>
            </w:pPr>
            <w:r>
              <w:rPr>
                <w:b/>
                <w:color w:val="232B32"/>
              </w:rPr>
              <w:t>37</w:t>
            </w:r>
          </w:p>
        </w:tc>
      </w:tr>
    </w:tbl>
    <w:p w14:paraId="550A620C" w14:textId="77777777" w:rsidR="00BE522A" w:rsidRDefault="00BE522A">
      <w:pPr>
        <w:spacing w:after="80"/>
        <w:ind w:firstLine="0"/>
      </w:pPr>
    </w:p>
    <w:p w14:paraId="2943D96F" w14:textId="77777777" w:rsidR="00BE522A" w:rsidRPr="00E75E1B" w:rsidRDefault="00000000">
      <w:proofErr w:type="spellStart"/>
      <w:r w:rsidRPr="00E75E1B">
        <w:t>Analisis</w:t>
      </w:r>
      <w:proofErr w:type="spellEnd"/>
      <w:r w:rsidRPr="00E75E1B">
        <w:t xml:space="preserve"> </w:t>
      </w:r>
      <w:proofErr w:type="spellStart"/>
      <w:r w:rsidRPr="00E75E1B">
        <w:t>dilakukan</w:t>
      </w:r>
      <w:proofErr w:type="spellEnd"/>
      <w:r w:rsidRPr="00E75E1B">
        <w:t xml:space="preserve"> </w:t>
      </w:r>
      <w:proofErr w:type="spellStart"/>
      <w:r w:rsidRPr="00E75E1B">
        <w:t>dengan</w:t>
      </w:r>
      <w:proofErr w:type="spellEnd"/>
      <w:r w:rsidRPr="00E75E1B">
        <w:t xml:space="preserve"> IBM SPSS. Data dideskripsikan dengan nilai minimum, maksimum, rerata (M), dan simpangan baku (SD). Skor dikelompokkan ke dalam kategori rendah, sedang, dan tinggi berdasarkan data aktual, yaitu rendah apabila skor kurang dari M - 1SD, sedang apabila skor berada pada M - 1SD hingga kurang dari M + 1SD, dan tinggi apabila skor sama dengan atau lebih dari M + 1SD. Uji prasyarat meliputi uji normalitas residual dengan Kolmogorov-Smirnov (data normal apabila Sig. &gt; 0,05), uji linearitas dengan test for linearity (linear apabila Sig. pada deviation from linearity &gt; 0,05), dan uji heteroskedastisitas dengan metode Glejser (tidak terjadi heteroskedastisitas apabila Sig. &gt; 0,05). Hipotesis diuji dengan regresi linier sederhana pada taraf signifikansi 5%. Hipotesis alternatif (Ha) diterima apabila Sig. &lt; 0,05; jika tidak, </w:t>
      </w:r>
      <w:proofErr w:type="spellStart"/>
      <w:r w:rsidRPr="00E75E1B">
        <w:t>hipotesis</w:t>
      </w:r>
      <w:proofErr w:type="spellEnd"/>
      <w:r w:rsidRPr="00E75E1B">
        <w:t xml:space="preserve"> </w:t>
      </w:r>
      <w:proofErr w:type="spellStart"/>
      <w:r w:rsidRPr="00E75E1B">
        <w:t>nol</w:t>
      </w:r>
      <w:proofErr w:type="spellEnd"/>
      <w:r w:rsidRPr="00E75E1B">
        <w:t xml:space="preserve"> (H0) </w:t>
      </w:r>
      <w:proofErr w:type="spellStart"/>
      <w:r w:rsidRPr="00E75E1B">
        <w:t>diterima</w:t>
      </w:r>
      <w:proofErr w:type="spellEnd"/>
      <w:r w:rsidRPr="00E75E1B">
        <w:t>.</w:t>
      </w:r>
    </w:p>
    <w:p w14:paraId="2A012F2C" w14:textId="77777777" w:rsidR="00E75E1B" w:rsidRDefault="00E75E1B"/>
    <w:p w14:paraId="2AF944A7" w14:textId="77777777" w:rsidR="00BE522A" w:rsidRDefault="00000000">
      <w:pPr>
        <w:pStyle w:val="Judul1"/>
        <w:spacing w:before="0"/>
        <w:ind w:firstLine="0"/>
      </w:pPr>
      <w:r>
        <w:rPr>
          <w:sz w:val="28"/>
          <w:szCs w:val="28"/>
        </w:rPr>
        <w:t>Hasil dan Pembahasan</w:t>
      </w:r>
    </w:p>
    <w:p w14:paraId="37CB7F87" w14:textId="77777777" w:rsidR="00BE522A" w:rsidRDefault="00000000">
      <w:pPr>
        <w:pStyle w:val="Judul2"/>
        <w:spacing w:before="0"/>
        <w:ind w:firstLine="0"/>
      </w:pPr>
      <w:r>
        <w:rPr>
          <w:i/>
          <w:sz w:val="24"/>
          <w:szCs w:val="24"/>
        </w:rPr>
        <w:t>Gambaran Skor dan Tingkat Growth Mindset Siswa</w:t>
      </w:r>
    </w:p>
    <w:p w14:paraId="14E8351D" w14:textId="77777777" w:rsidR="00BE522A" w:rsidRDefault="00000000">
      <w:r>
        <w:t xml:space="preserve">Data berasal dari 164 siswa kelas X. Skor </w:t>
      </w:r>
      <w:r>
        <w:rPr>
          <w:i/>
        </w:rPr>
        <w:t>growth mindset</w:t>
      </w:r>
      <w:r>
        <w:t xml:space="preserve"> berkisar antara 78 dan 108 dengan rerata 93,98 dan simpangan baku 4,801 (Tabel 3). Dengan 37 butir yang diskor 1 sampai 4, rerata per butir adalah 2,54, atau berada di sekitar titik tengah skala. Berdasarkan pengelompokan </w:t>
      </w:r>
      <w:r>
        <w:rPr>
          <w:i/>
        </w:rPr>
        <w:t>M</w:t>
      </w:r>
      <w:r>
        <w:t xml:space="preserve"> ± 1</w:t>
      </w:r>
      <w:r>
        <w:rPr>
          <w:i/>
        </w:rPr>
        <w:t>SD</w:t>
      </w:r>
      <w:r>
        <w:t>, sebanyak 17 siswa (10,4%) berada pada kategori rendah, 111 siswa (67,7%) pada kategori sedang, dan 36 siswa (22,0%) pada kategori tinggi (Tabel 4).</w:t>
      </w:r>
    </w:p>
    <w:p w14:paraId="2B4A4F8F" w14:textId="77777777" w:rsidR="00BE522A" w:rsidRDefault="00000000">
      <w:pPr>
        <w:keepNext/>
        <w:spacing w:before="100" w:after="60"/>
        <w:ind w:firstLine="0"/>
        <w:jc w:val="center"/>
      </w:pPr>
      <w:r>
        <w:rPr>
          <w:b/>
          <w:color w:val="20303F"/>
        </w:rPr>
        <w:t xml:space="preserve">Tabel 3. </w:t>
      </w:r>
      <w:r>
        <w:rPr>
          <w:color w:val="20303F"/>
        </w:rPr>
        <w:t>Statistik deskriptif growth mindset dan academic grit (N = 164)</w:t>
      </w:r>
    </w:p>
    <w:tbl>
      <w:tblPr>
        <w:tblW w:w="0" w:type="auto"/>
        <w:jc w:val="center"/>
        <w:tblLayout w:type="fixed"/>
        <w:tblLook w:val="04A0" w:firstRow="1" w:lastRow="0" w:firstColumn="1" w:lastColumn="0" w:noHBand="0" w:noVBand="1"/>
      </w:tblPr>
      <w:tblGrid>
        <w:gridCol w:w="2100"/>
        <w:gridCol w:w="900"/>
        <w:gridCol w:w="900"/>
        <w:gridCol w:w="900"/>
        <w:gridCol w:w="1100"/>
        <w:gridCol w:w="1100"/>
        <w:gridCol w:w="1500"/>
      </w:tblGrid>
      <w:tr w:rsidR="00BE522A" w14:paraId="38214070" w14:textId="77777777">
        <w:trPr>
          <w:cantSplit/>
          <w:tblHeader/>
          <w:jc w:val="center"/>
        </w:trPr>
        <w:tc>
          <w:tcPr>
            <w:tcW w:w="2100" w:type="dxa"/>
            <w:tcBorders>
              <w:bottom w:val="single" w:sz="10" w:space="0" w:color="8CA5B8"/>
            </w:tcBorders>
            <w:tcMar>
              <w:top w:w="74" w:type="dxa"/>
              <w:left w:w="105" w:type="dxa"/>
              <w:bottom w:w="74" w:type="dxa"/>
              <w:right w:w="105" w:type="dxa"/>
            </w:tcMar>
            <w:vAlign w:val="center"/>
          </w:tcPr>
          <w:p w14:paraId="5CDAF95D" w14:textId="77777777" w:rsidR="00BE522A" w:rsidRDefault="00000000">
            <w:pPr>
              <w:pStyle w:val="ArticleTable"/>
              <w:keepNext/>
              <w:jc w:val="center"/>
            </w:pPr>
            <w:r>
              <w:rPr>
                <w:b/>
                <w:color w:val="203140"/>
              </w:rPr>
              <w:t>Variabel</w:t>
            </w:r>
          </w:p>
        </w:tc>
        <w:tc>
          <w:tcPr>
            <w:tcW w:w="900" w:type="dxa"/>
            <w:tcBorders>
              <w:bottom w:val="single" w:sz="10" w:space="0" w:color="8CA5B8"/>
            </w:tcBorders>
            <w:tcMar>
              <w:top w:w="74" w:type="dxa"/>
              <w:left w:w="105" w:type="dxa"/>
              <w:bottom w:w="74" w:type="dxa"/>
              <w:right w:w="105" w:type="dxa"/>
            </w:tcMar>
            <w:vAlign w:val="center"/>
          </w:tcPr>
          <w:p w14:paraId="579D4B83" w14:textId="77777777" w:rsidR="00BE522A" w:rsidRDefault="00000000">
            <w:pPr>
              <w:pStyle w:val="ArticleTable"/>
              <w:keepNext/>
              <w:jc w:val="center"/>
            </w:pPr>
            <w:r>
              <w:rPr>
                <w:b/>
                <w:color w:val="203140"/>
              </w:rPr>
              <w:t>Butir</w:t>
            </w:r>
          </w:p>
        </w:tc>
        <w:tc>
          <w:tcPr>
            <w:tcW w:w="900" w:type="dxa"/>
            <w:tcBorders>
              <w:bottom w:val="single" w:sz="10" w:space="0" w:color="8CA5B8"/>
            </w:tcBorders>
            <w:tcMar>
              <w:top w:w="74" w:type="dxa"/>
              <w:left w:w="105" w:type="dxa"/>
              <w:bottom w:w="74" w:type="dxa"/>
              <w:right w:w="105" w:type="dxa"/>
            </w:tcMar>
            <w:vAlign w:val="center"/>
          </w:tcPr>
          <w:p w14:paraId="4866BB8D" w14:textId="77777777" w:rsidR="00BE522A" w:rsidRDefault="00000000">
            <w:pPr>
              <w:pStyle w:val="ArticleTable"/>
              <w:keepNext/>
              <w:jc w:val="center"/>
            </w:pPr>
            <w:r>
              <w:rPr>
                <w:b/>
                <w:color w:val="203140"/>
              </w:rPr>
              <w:t>Min</w:t>
            </w:r>
          </w:p>
        </w:tc>
        <w:tc>
          <w:tcPr>
            <w:tcW w:w="900" w:type="dxa"/>
            <w:tcBorders>
              <w:bottom w:val="single" w:sz="10" w:space="0" w:color="8CA5B8"/>
            </w:tcBorders>
            <w:tcMar>
              <w:top w:w="74" w:type="dxa"/>
              <w:left w:w="105" w:type="dxa"/>
              <w:bottom w:w="74" w:type="dxa"/>
              <w:right w:w="105" w:type="dxa"/>
            </w:tcMar>
            <w:vAlign w:val="center"/>
          </w:tcPr>
          <w:p w14:paraId="2835FDB2" w14:textId="77777777" w:rsidR="00BE522A" w:rsidRDefault="00000000">
            <w:pPr>
              <w:pStyle w:val="ArticleTable"/>
              <w:keepNext/>
              <w:jc w:val="center"/>
            </w:pPr>
            <w:r>
              <w:rPr>
                <w:b/>
                <w:color w:val="203140"/>
              </w:rPr>
              <w:t>Maks</w:t>
            </w:r>
          </w:p>
        </w:tc>
        <w:tc>
          <w:tcPr>
            <w:tcW w:w="1100" w:type="dxa"/>
            <w:tcBorders>
              <w:bottom w:val="single" w:sz="10" w:space="0" w:color="8CA5B8"/>
            </w:tcBorders>
            <w:tcMar>
              <w:top w:w="74" w:type="dxa"/>
              <w:left w:w="105" w:type="dxa"/>
              <w:bottom w:w="74" w:type="dxa"/>
              <w:right w:w="105" w:type="dxa"/>
            </w:tcMar>
            <w:vAlign w:val="center"/>
          </w:tcPr>
          <w:p w14:paraId="3A52579A" w14:textId="77777777" w:rsidR="00BE522A" w:rsidRDefault="00000000">
            <w:pPr>
              <w:pStyle w:val="ArticleTable"/>
              <w:keepNext/>
              <w:jc w:val="center"/>
            </w:pPr>
            <w:r>
              <w:rPr>
                <w:b/>
                <w:i/>
                <w:color w:val="203140"/>
              </w:rPr>
              <w:t>M</w:t>
            </w:r>
          </w:p>
        </w:tc>
        <w:tc>
          <w:tcPr>
            <w:tcW w:w="1100" w:type="dxa"/>
            <w:tcBorders>
              <w:bottom w:val="single" w:sz="10" w:space="0" w:color="8CA5B8"/>
            </w:tcBorders>
            <w:tcMar>
              <w:top w:w="74" w:type="dxa"/>
              <w:left w:w="105" w:type="dxa"/>
              <w:bottom w:w="74" w:type="dxa"/>
              <w:right w:w="105" w:type="dxa"/>
            </w:tcMar>
            <w:vAlign w:val="center"/>
          </w:tcPr>
          <w:p w14:paraId="03F782CB" w14:textId="77777777" w:rsidR="00BE522A" w:rsidRDefault="00000000">
            <w:pPr>
              <w:pStyle w:val="ArticleTable"/>
              <w:keepNext/>
              <w:jc w:val="center"/>
            </w:pPr>
            <w:r>
              <w:rPr>
                <w:b/>
                <w:i/>
                <w:color w:val="203140"/>
              </w:rPr>
              <w:t>SD</w:t>
            </w:r>
          </w:p>
        </w:tc>
        <w:tc>
          <w:tcPr>
            <w:tcW w:w="1500" w:type="dxa"/>
            <w:tcBorders>
              <w:bottom w:val="single" w:sz="10" w:space="0" w:color="8CA5B8"/>
            </w:tcBorders>
            <w:tcMar>
              <w:top w:w="74" w:type="dxa"/>
              <w:left w:w="105" w:type="dxa"/>
              <w:bottom w:w="74" w:type="dxa"/>
              <w:right w:w="105" w:type="dxa"/>
            </w:tcMar>
            <w:vAlign w:val="center"/>
          </w:tcPr>
          <w:p w14:paraId="4961630A" w14:textId="77777777" w:rsidR="00BE522A" w:rsidRDefault="00000000">
            <w:pPr>
              <w:pStyle w:val="ArticleTable"/>
              <w:keepNext/>
              <w:jc w:val="center"/>
            </w:pPr>
            <w:r>
              <w:rPr>
                <w:b/>
                <w:i/>
                <w:color w:val="203140"/>
              </w:rPr>
              <w:t>M</w:t>
            </w:r>
            <w:r>
              <w:rPr>
                <w:b/>
                <w:color w:val="203140"/>
              </w:rPr>
              <w:t xml:space="preserve"> per butir</w:t>
            </w:r>
          </w:p>
        </w:tc>
      </w:tr>
      <w:tr w:rsidR="00BE522A" w14:paraId="50FA0C95" w14:textId="77777777">
        <w:trPr>
          <w:cantSplit/>
          <w:jc w:val="center"/>
        </w:trPr>
        <w:tc>
          <w:tcPr>
            <w:tcW w:w="2100" w:type="dxa"/>
            <w:tcBorders>
              <w:bottom w:val="single" w:sz="4" w:space="0" w:color="D5DEE5"/>
            </w:tcBorders>
            <w:tcMar>
              <w:top w:w="74" w:type="dxa"/>
              <w:left w:w="105" w:type="dxa"/>
              <w:bottom w:w="74" w:type="dxa"/>
              <w:right w:w="105" w:type="dxa"/>
            </w:tcMar>
            <w:vAlign w:val="center"/>
          </w:tcPr>
          <w:p w14:paraId="6EB1DF4D" w14:textId="77777777" w:rsidR="00BE522A" w:rsidRDefault="00000000">
            <w:pPr>
              <w:pStyle w:val="ArticleTable"/>
              <w:keepNext/>
            </w:pPr>
            <w:r>
              <w:rPr>
                <w:i/>
                <w:color w:val="232B32"/>
              </w:rPr>
              <w:t>Growth mindset</w:t>
            </w:r>
          </w:p>
        </w:tc>
        <w:tc>
          <w:tcPr>
            <w:tcW w:w="900" w:type="dxa"/>
            <w:tcBorders>
              <w:bottom w:val="single" w:sz="4" w:space="0" w:color="D5DEE5"/>
            </w:tcBorders>
            <w:tcMar>
              <w:top w:w="74" w:type="dxa"/>
              <w:left w:w="105" w:type="dxa"/>
              <w:bottom w:w="74" w:type="dxa"/>
              <w:right w:w="105" w:type="dxa"/>
            </w:tcMar>
            <w:vAlign w:val="center"/>
          </w:tcPr>
          <w:p w14:paraId="38D08C47" w14:textId="77777777" w:rsidR="00BE522A" w:rsidRDefault="00000000">
            <w:pPr>
              <w:pStyle w:val="ArticleTable"/>
              <w:keepNext/>
              <w:jc w:val="center"/>
            </w:pPr>
            <w:r>
              <w:rPr>
                <w:color w:val="232B32"/>
              </w:rPr>
              <w:t>37</w:t>
            </w:r>
          </w:p>
        </w:tc>
        <w:tc>
          <w:tcPr>
            <w:tcW w:w="900" w:type="dxa"/>
            <w:tcBorders>
              <w:bottom w:val="single" w:sz="4" w:space="0" w:color="D5DEE5"/>
            </w:tcBorders>
            <w:tcMar>
              <w:top w:w="74" w:type="dxa"/>
              <w:left w:w="105" w:type="dxa"/>
              <w:bottom w:w="74" w:type="dxa"/>
              <w:right w:w="105" w:type="dxa"/>
            </w:tcMar>
            <w:vAlign w:val="center"/>
          </w:tcPr>
          <w:p w14:paraId="33A24AA6" w14:textId="77777777" w:rsidR="00BE522A" w:rsidRDefault="00000000">
            <w:pPr>
              <w:pStyle w:val="ArticleTable"/>
              <w:keepNext/>
              <w:jc w:val="center"/>
            </w:pPr>
            <w:r>
              <w:rPr>
                <w:color w:val="232B32"/>
              </w:rPr>
              <w:t>78</w:t>
            </w:r>
          </w:p>
        </w:tc>
        <w:tc>
          <w:tcPr>
            <w:tcW w:w="900" w:type="dxa"/>
            <w:tcBorders>
              <w:bottom w:val="single" w:sz="4" w:space="0" w:color="D5DEE5"/>
            </w:tcBorders>
            <w:tcMar>
              <w:top w:w="74" w:type="dxa"/>
              <w:left w:w="105" w:type="dxa"/>
              <w:bottom w:w="74" w:type="dxa"/>
              <w:right w:w="105" w:type="dxa"/>
            </w:tcMar>
            <w:vAlign w:val="center"/>
          </w:tcPr>
          <w:p w14:paraId="74168763" w14:textId="77777777" w:rsidR="00BE522A" w:rsidRDefault="00000000">
            <w:pPr>
              <w:pStyle w:val="ArticleTable"/>
              <w:keepNext/>
              <w:jc w:val="center"/>
            </w:pPr>
            <w:r>
              <w:rPr>
                <w:color w:val="232B32"/>
              </w:rPr>
              <w:t>108</w:t>
            </w:r>
          </w:p>
        </w:tc>
        <w:tc>
          <w:tcPr>
            <w:tcW w:w="1100" w:type="dxa"/>
            <w:tcBorders>
              <w:bottom w:val="single" w:sz="4" w:space="0" w:color="D5DEE5"/>
            </w:tcBorders>
            <w:tcMar>
              <w:top w:w="74" w:type="dxa"/>
              <w:left w:w="105" w:type="dxa"/>
              <w:bottom w:w="74" w:type="dxa"/>
              <w:right w:w="105" w:type="dxa"/>
            </w:tcMar>
            <w:vAlign w:val="center"/>
          </w:tcPr>
          <w:p w14:paraId="1F54CCF0" w14:textId="77777777" w:rsidR="00BE522A" w:rsidRDefault="00000000">
            <w:pPr>
              <w:pStyle w:val="ArticleTable"/>
              <w:keepNext/>
              <w:jc w:val="center"/>
            </w:pPr>
            <w:r>
              <w:rPr>
                <w:color w:val="232B32"/>
              </w:rPr>
              <w:t>93,98</w:t>
            </w:r>
          </w:p>
        </w:tc>
        <w:tc>
          <w:tcPr>
            <w:tcW w:w="1100" w:type="dxa"/>
            <w:tcBorders>
              <w:bottom w:val="single" w:sz="4" w:space="0" w:color="D5DEE5"/>
            </w:tcBorders>
            <w:tcMar>
              <w:top w:w="74" w:type="dxa"/>
              <w:left w:w="105" w:type="dxa"/>
              <w:bottom w:w="74" w:type="dxa"/>
              <w:right w:w="105" w:type="dxa"/>
            </w:tcMar>
            <w:vAlign w:val="center"/>
          </w:tcPr>
          <w:p w14:paraId="1346E34A" w14:textId="77777777" w:rsidR="00BE522A" w:rsidRDefault="00000000">
            <w:pPr>
              <w:pStyle w:val="ArticleTable"/>
              <w:keepNext/>
              <w:jc w:val="center"/>
            </w:pPr>
            <w:r>
              <w:rPr>
                <w:color w:val="232B32"/>
              </w:rPr>
              <w:t>4,801</w:t>
            </w:r>
          </w:p>
        </w:tc>
        <w:tc>
          <w:tcPr>
            <w:tcW w:w="1500" w:type="dxa"/>
            <w:tcBorders>
              <w:bottom w:val="single" w:sz="4" w:space="0" w:color="D5DEE5"/>
            </w:tcBorders>
            <w:tcMar>
              <w:top w:w="74" w:type="dxa"/>
              <w:left w:w="105" w:type="dxa"/>
              <w:bottom w:w="74" w:type="dxa"/>
              <w:right w:w="105" w:type="dxa"/>
            </w:tcMar>
            <w:vAlign w:val="center"/>
          </w:tcPr>
          <w:p w14:paraId="218A4808" w14:textId="77777777" w:rsidR="00BE522A" w:rsidRDefault="00000000">
            <w:pPr>
              <w:pStyle w:val="ArticleTable"/>
              <w:keepNext/>
              <w:jc w:val="center"/>
            </w:pPr>
            <w:r>
              <w:rPr>
                <w:color w:val="232B32"/>
              </w:rPr>
              <w:t>2,54</w:t>
            </w:r>
          </w:p>
        </w:tc>
      </w:tr>
      <w:tr w:rsidR="00BE522A" w14:paraId="6CCCF4E8" w14:textId="77777777">
        <w:trPr>
          <w:cantSplit/>
          <w:jc w:val="center"/>
        </w:trPr>
        <w:tc>
          <w:tcPr>
            <w:tcW w:w="2100" w:type="dxa"/>
            <w:tcBorders>
              <w:bottom w:val="single" w:sz="4" w:space="0" w:color="D5DEE5"/>
            </w:tcBorders>
            <w:tcMar>
              <w:top w:w="74" w:type="dxa"/>
              <w:left w:w="105" w:type="dxa"/>
              <w:bottom w:w="74" w:type="dxa"/>
              <w:right w:w="105" w:type="dxa"/>
            </w:tcMar>
            <w:vAlign w:val="center"/>
          </w:tcPr>
          <w:p w14:paraId="23C19A61" w14:textId="77777777" w:rsidR="00BE522A" w:rsidRDefault="00000000">
            <w:pPr>
              <w:pStyle w:val="ArticleTable"/>
            </w:pPr>
            <w:r>
              <w:rPr>
                <w:i/>
                <w:color w:val="232B32"/>
              </w:rPr>
              <w:t>Academic grit</w:t>
            </w:r>
          </w:p>
        </w:tc>
        <w:tc>
          <w:tcPr>
            <w:tcW w:w="900" w:type="dxa"/>
            <w:tcBorders>
              <w:bottom w:val="single" w:sz="4" w:space="0" w:color="D5DEE5"/>
            </w:tcBorders>
            <w:tcMar>
              <w:top w:w="74" w:type="dxa"/>
              <w:left w:w="105" w:type="dxa"/>
              <w:bottom w:w="74" w:type="dxa"/>
              <w:right w:w="105" w:type="dxa"/>
            </w:tcMar>
            <w:vAlign w:val="center"/>
          </w:tcPr>
          <w:p w14:paraId="554C4471" w14:textId="77777777" w:rsidR="00BE522A" w:rsidRDefault="00000000">
            <w:pPr>
              <w:pStyle w:val="ArticleTable"/>
              <w:jc w:val="center"/>
            </w:pPr>
            <w:r>
              <w:rPr>
                <w:color w:val="232B32"/>
              </w:rPr>
              <w:t>29</w:t>
            </w:r>
          </w:p>
        </w:tc>
        <w:tc>
          <w:tcPr>
            <w:tcW w:w="900" w:type="dxa"/>
            <w:tcBorders>
              <w:bottom w:val="single" w:sz="4" w:space="0" w:color="D5DEE5"/>
            </w:tcBorders>
            <w:tcMar>
              <w:top w:w="74" w:type="dxa"/>
              <w:left w:w="105" w:type="dxa"/>
              <w:bottom w:w="74" w:type="dxa"/>
              <w:right w:w="105" w:type="dxa"/>
            </w:tcMar>
            <w:vAlign w:val="center"/>
          </w:tcPr>
          <w:p w14:paraId="69EA8EA5" w14:textId="77777777" w:rsidR="00BE522A" w:rsidRDefault="00000000">
            <w:pPr>
              <w:pStyle w:val="ArticleTable"/>
              <w:jc w:val="center"/>
            </w:pPr>
            <w:r>
              <w:rPr>
                <w:color w:val="232B32"/>
              </w:rPr>
              <w:t>51</w:t>
            </w:r>
          </w:p>
        </w:tc>
        <w:tc>
          <w:tcPr>
            <w:tcW w:w="900" w:type="dxa"/>
            <w:tcBorders>
              <w:bottom w:val="single" w:sz="4" w:space="0" w:color="D5DEE5"/>
            </w:tcBorders>
            <w:tcMar>
              <w:top w:w="74" w:type="dxa"/>
              <w:left w:w="105" w:type="dxa"/>
              <w:bottom w:w="74" w:type="dxa"/>
              <w:right w:w="105" w:type="dxa"/>
            </w:tcMar>
            <w:vAlign w:val="center"/>
          </w:tcPr>
          <w:p w14:paraId="666F49D9" w14:textId="77777777" w:rsidR="00BE522A" w:rsidRDefault="00000000">
            <w:pPr>
              <w:pStyle w:val="ArticleTable"/>
              <w:jc w:val="center"/>
            </w:pPr>
            <w:r>
              <w:rPr>
                <w:color w:val="232B32"/>
              </w:rPr>
              <w:t>93</w:t>
            </w:r>
          </w:p>
        </w:tc>
        <w:tc>
          <w:tcPr>
            <w:tcW w:w="1100" w:type="dxa"/>
            <w:tcBorders>
              <w:bottom w:val="single" w:sz="4" w:space="0" w:color="D5DEE5"/>
            </w:tcBorders>
            <w:tcMar>
              <w:top w:w="74" w:type="dxa"/>
              <w:left w:w="105" w:type="dxa"/>
              <w:bottom w:w="74" w:type="dxa"/>
              <w:right w:w="105" w:type="dxa"/>
            </w:tcMar>
            <w:vAlign w:val="center"/>
          </w:tcPr>
          <w:p w14:paraId="5670F7FA" w14:textId="77777777" w:rsidR="00BE522A" w:rsidRDefault="00000000">
            <w:pPr>
              <w:pStyle w:val="ArticleTable"/>
              <w:jc w:val="center"/>
            </w:pPr>
            <w:r>
              <w:rPr>
                <w:color w:val="232B32"/>
              </w:rPr>
              <w:t>67,56</w:t>
            </w:r>
          </w:p>
        </w:tc>
        <w:tc>
          <w:tcPr>
            <w:tcW w:w="1100" w:type="dxa"/>
            <w:tcBorders>
              <w:bottom w:val="single" w:sz="4" w:space="0" w:color="D5DEE5"/>
            </w:tcBorders>
            <w:tcMar>
              <w:top w:w="74" w:type="dxa"/>
              <w:left w:w="105" w:type="dxa"/>
              <w:bottom w:w="74" w:type="dxa"/>
              <w:right w:w="105" w:type="dxa"/>
            </w:tcMar>
            <w:vAlign w:val="center"/>
          </w:tcPr>
          <w:p w14:paraId="46E60C1C" w14:textId="77777777" w:rsidR="00BE522A" w:rsidRDefault="00000000">
            <w:pPr>
              <w:pStyle w:val="ArticleTable"/>
              <w:jc w:val="center"/>
            </w:pPr>
            <w:r>
              <w:rPr>
                <w:color w:val="232B32"/>
              </w:rPr>
              <w:t>6,305</w:t>
            </w:r>
          </w:p>
        </w:tc>
        <w:tc>
          <w:tcPr>
            <w:tcW w:w="1500" w:type="dxa"/>
            <w:tcBorders>
              <w:bottom w:val="single" w:sz="4" w:space="0" w:color="D5DEE5"/>
            </w:tcBorders>
            <w:tcMar>
              <w:top w:w="74" w:type="dxa"/>
              <w:left w:w="105" w:type="dxa"/>
              <w:bottom w:w="74" w:type="dxa"/>
              <w:right w:w="105" w:type="dxa"/>
            </w:tcMar>
            <w:vAlign w:val="center"/>
          </w:tcPr>
          <w:p w14:paraId="026B634B" w14:textId="77777777" w:rsidR="00BE522A" w:rsidRDefault="00000000">
            <w:pPr>
              <w:pStyle w:val="ArticleTable"/>
              <w:jc w:val="center"/>
            </w:pPr>
            <w:r>
              <w:rPr>
                <w:color w:val="232B32"/>
              </w:rPr>
              <w:t>2,33</w:t>
            </w:r>
          </w:p>
        </w:tc>
      </w:tr>
    </w:tbl>
    <w:p w14:paraId="0DDC5F20" w14:textId="77777777" w:rsidR="00BE522A" w:rsidRDefault="00BE522A">
      <w:pPr>
        <w:spacing w:after="80"/>
        <w:ind w:firstLine="0"/>
      </w:pPr>
    </w:p>
    <w:p w14:paraId="5A39F5D0" w14:textId="77777777" w:rsidR="00BE522A" w:rsidRDefault="00000000">
      <w:pPr>
        <w:keepNext/>
        <w:spacing w:before="100" w:after="60"/>
        <w:ind w:firstLine="0"/>
        <w:jc w:val="center"/>
      </w:pPr>
      <w:r>
        <w:rPr>
          <w:b/>
          <w:color w:val="20303F"/>
        </w:rPr>
        <w:lastRenderedPageBreak/>
        <w:t xml:space="preserve">Tabel 4. </w:t>
      </w:r>
      <w:r>
        <w:rPr>
          <w:color w:val="20303F"/>
        </w:rPr>
        <w:t>Kategorisasi growth mindset dan academic grit</w:t>
      </w:r>
    </w:p>
    <w:tbl>
      <w:tblPr>
        <w:tblW w:w="0" w:type="auto"/>
        <w:jc w:val="center"/>
        <w:tblLayout w:type="fixed"/>
        <w:tblLook w:val="04A0" w:firstRow="1" w:lastRow="0" w:firstColumn="1" w:lastColumn="0" w:noHBand="0" w:noVBand="1"/>
      </w:tblPr>
      <w:tblGrid>
        <w:gridCol w:w="1300"/>
        <w:gridCol w:w="2200"/>
        <w:gridCol w:w="1500"/>
        <w:gridCol w:w="2200"/>
        <w:gridCol w:w="1500"/>
      </w:tblGrid>
      <w:tr w:rsidR="00BE522A" w14:paraId="04FBFD8D" w14:textId="77777777">
        <w:trPr>
          <w:cantSplit/>
          <w:tblHeader/>
          <w:jc w:val="center"/>
        </w:trPr>
        <w:tc>
          <w:tcPr>
            <w:tcW w:w="1300" w:type="dxa"/>
            <w:tcBorders>
              <w:bottom w:val="single" w:sz="10" w:space="0" w:color="8CA5B8"/>
            </w:tcBorders>
            <w:tcMar>
              <w:top w:w="74" w:type="dxa"/>
              <w:left w:w="105" w:type="dxa"/>
              <w:bottom w:w="74" w:type="dxa"/>
              <w:right w:w="105" w:type="dxa"/>
            </w:tcMar>
            <w:vAlign w:val="center"/>
          </w:tcPr>
          <w:p w14:paraId="7C980653" w14:textId="77777777" w:rsidR="00BE522A" w:rsidRDefault="00000000">
            <w:pPr>
              <w:pStyle w:val="ArticleTable"/>
              <w:keepNext/>
              <w:jc w:val="center"/>
            </w:pPr>
            <w:r>
              <w:rPr>
                <w:b/>
                <w:color w:val="203140"/>
              </w:rPr>
              <w:t>Kategori</w:t>
            </w:r>
          </w:p>
        </w:tc>
        <w:tc>
          <w:tcPr>
            <w:tcW w:w="2200" w:type="dxa"/>
            <w:tcBorders>
              <w:bottom w:val="single" w:sz="10" w:space="0" w:color="8CA5B8"/>
            </w:tcBorders>
            <w:tcMar>
              <w:top w:w="74" w:type="dxa"/>
              <w:left w:w="105" w:type="dxa"/>
              <w:bottom w:w="74" w:type="dxa"/>
              <w:right w:w="105" w:type="dxa"/>
            </w:tcMar>
            <w:vAlign w:val="center"/>
          </w:tcPr>
          <w:p w14:paraId="6F378F37" w14:textId="77777777" w:rsidR="00BE522A" w:rsidRDefault="00000000">
            <w:pPr>
              <w:pStyle w:val="ArticleTable"/>
              <w:keepNext/>
              <w:jc w:val="center"/>
            </w:pPr>
            <w:r>
              <w:rPr>
                <w:b/>
                <w:color w:val="203140"/>
              </w:rPr>
              <w:t xml:space="preserve">Interval skor </w:t>
            </w:r>
            <w:r>
              <w:rPr>
                <w:b/>
                <w:i/>
                <w:color w:val="203140"/>
              </w:rPr>
              <w:t>growth mindset</w:t>
            </w:r>
          </w:p>
        </w:tc>
        <w:tc>
          <w:tcPr>
            <w:tcW w:w="1500" w:type="dxa"/>
            <w:tcBorders>
              <w:bottom w:val="single" w:sz="10" w:space="0" w:color="8CA5B8"/>
            </w:tcBorders>
            <w:tcMar>
              <w:top w:w="74" w:type="dxa"/>
              <w:left w:w="105" w:type="dxa"/>
              <w:bottom w:w="74" w:type="dxa"/>
              <w:right w:w="105" w:type="dxa"/>
            </w:tcMar>
            <w:vAlign w:val="center"/>
          </w:tcPr>
          <w:p w14:paraId="417E34EE" w14:textId="77777777" w:rsidR="00BE522A" w:rsidRDefault="00000000">
            <w:pPr>
              <w:pStyle w:val="ArticleTable"/>
              <w:keepNext/>
              <w:jc w:val="center"/>
            </w:pPr>
            <w:r>
              <w:rPr>
                <w:b/>
                <w:i/>
                <w:color w:val="203140"/>
              </w:rPr>
              <w:t>f</w:t>
            </w:r>
            <w:r>
              <w:rPr>
                <w:b/>
                <w:color w:val="203140"/>
              </w:rPr>
              <w:t xml:space="preserve"> (%)</w:t>
            </w:r>
          </w:p>
        </w:tc>
        <w:tc>
          <w:tcPr>
            <w:tcW w:w="2200" w:type="dxa"/>
            <w:tcBorders>
              <w:bottom w:val="single" w:sz="10" w:space="0" w:color="8CA5B8"/>
            </w:tcBorders>
            <w:tcMar>
              <w:top w:w="74" w:type="dxa"/>
              <w:left w:w="105" w:type="dxa"/>
              <w:bottom w:w="74" w:type="dxa"/>
              <w:right w:w="105" w:type="dxa"/>
            </w:tcMar>
            <w:vAlign w:val="center"/>
          </w:tcPr>
          <w:p w14:paraId="21C1635B" w14:textId="77777777" w:rsidR="00BE522A" w:rsidRDefault="00000000">
            <w:pPr>
              <w:pStyle w:val="ArticleTable"/>
              <w:keepNext/>
              <w:jc w:val="center"/>
            </w:pPr>
            <w:r>
              <w:rPr>
                <w:b/>
                <w:color w:val="203140"/>
              </w:rPr>
              <w:t xml:space="preserve">Interval skor </w:t>
            </w:r>
            <w:r>
              <w:rPr>
                <w:b/>
                <w:i/>
                <w:color w:val="203140"/>
              </w:rPr>
              <w:t>academic grit</w:t>
            </w:r>
          </w:p>
        </w:tc>
        <w:tc>
          <w:tcPr>
            <w:tcW w:w="1500" w:type="dxa"/>
            <w:tcBorders>
              <w:bottom w:val="single" w:sz="10" w:space="0" w:color="8CA5B8"/>
            </w:tcBorders>
            <w:tcMar>
              <w:top w:w="74" w:type="dxa"/>
              <w:left w:w="105" w:type="dxa"/>
              <w:bottom w:w="74" w:type="dxa"/>
              <w:right w:w="105" w:type="dxa"/>
            </w:tcMar>
            <w:vAlign w:val="center"/>
          </w:tcPr>
          <w:p w14:paraId="130D6C2F" w14:textId="77777777" w:rsidR="00BE522A" w:rsidRDefault="00000000">
            <w:pPr>
              <w:pStyle w:val="ArticleTable"/>
              <w:keepNext/>
              <w:jc w:val="center"/>
            </w:pPr>
            <w:r>
              <w:rPr>
                <w:b/>
                <w:i/>
                <w:color w:val="203140"/>
              </w:rPr>
              <w:t>f</w:t>
            </w:r>
            <w:r>
              <w:rPr>
                <w:b/>
                <w:color w:val="203140"/>
              </w:rPr>
              <w:t xml:space="preserve"> (%)</w:t>
            </w:r>
          </w:p>
        </w:tc>
      </w:tr>
      <w:tr w:rsidR="00BE522A" w14:paraId="2682F624" w14:textId="77777777">
        <w:trPr>
          <w:cantSplit/>
          <w:jc w:val="center"/>
        </w:trPr>
        <w:tc>
          <w:tcPr>
            <w:tcW w:w="1300" w:type="dxa"/>
            <w:tcBorders>
              <w:bottom w:val="single" w:sz="4" w:space="0" w:color="D5DEE5"/>
            </w:tcBorders>
            <w:tcMar>
              <w:top w:w="74" w:type="dxa"/>
              <w:left w:w="105" w:type="dxa"/>
              <w:bottom w:w="74" w:type="dxa"/>
              <w:right w:w="105" w:type="dxa"/>
            </w:tcMar>
            <w:vAlign w:val="center"/>
          </w:tcPr>
          <w:p w14:paraId="523ABFB8" w14:textId="77777777" w:rsidR="00BE522A" w:rsidRDefault="00000000">
            <w:pPr>
              <w:pStyle w:val="ArticleTable"/>
              <w:keepNext/>
            </w:pPr>
            <w:r>
              <w:rPr>
                <w:color w:val="232B32"/>
              </w:rPr>
              <w:t>Rendah</w:t>
            </w:r>
          </w:p>
        </w:tc>
        <w:tc>
          <w:tcPr>
            <w:tcW w:w="2200" w:type="dxa"/>
            <w:tcBorders>
              <w:bottom w:val="single" w:sz="4" w:space="0" w:color="D5DEE5"/>
            </w:tcBorders>
            <w:tcMar>
              <w:top w:w="74" w:type="dxa"/>
              <w:left w:w="105" w:type="dxa"/>
              <w:bottom w:w="74" w:type="dxa"/>
              <w:right w:w="105" w:type="dxa"/>
            </w:tcMar>
            <w:vAlign w:val="center"/>
          </w:tcPr>
          <w:p w14:paraId="32D9EA35" w14:textId="77777777" w:rsidR="00BE522A" w:rsidRDefault="00000000">
            <w:pPr>
              <w:pStyle w:val="ArticleTable"/>
              <w:keepNext/>
              <w:jc w:val="center"/>
            </w:pPr>
            <w:r>
              <w:rPr>
                <w:color w:val="232B32"/>
              </w:rPr>
              <w:t>78–88</w:t>
            </w:r>
          </w:p>
        </w:tc>
        <w:tc>
          <w:tcPr>
            <w:tcW w:w="1500" w:type="dxa"/>
            <w:tcBorders>
              <w:bottom w:val="single" w:sz="4" w:space="0" w:color="D5DEE5"/>
            </w:tcBorders>
            <w:tcMar>
              <w:top w:w="74" w:type="dxa"/>
              <w:left w:w="105" w:type="dxa"/>
              <w:bottom w:w="74" w:type="dxa"/>
              <w:right w:w="105" w:type="dxa"/>
            </w:tcMar>
            <w:vAlign w:val="center"/>
          </w:tcPr>
          <w:p w14:paraId="6CFAD076" w14:textId="77777777" w:rsidR="00BE522A" w:rsidRDefault="00000000">
            <w:pPr>
              <w:pStyle w:val="ArticleTable"/>
              <w:keepNext/>
              <w:jc w:val="center"/>
            </w:pPr>
            <w:r>
              <w:rPr>
                <w:color w:val="232B32"/>
              </w:rPr>
              <w:t>17 (10,4)</w:t>
            </w:r>
          </w:p>
        </w:tc>
        <w:tc>
          <w:tcPr>
            <w:tcW w:w="2200" w:type="dxa"/>
            <w:tcBorders>
              <w:bottom w:val="single" w:sz="4" w:space="0" w:color="D5DEE5"/>
            </w:tcBorders>
            <w:tcMar>
              <w:top w:w="74" w:type="dxa"/>
              <w:left w:w="105" w:type="dxa"/>
              <w:bottom w:w="74" w:type="dxa"/>
              <w:right w:w="105" w:type="dxa"/>
            </w:tcMar>
            <w:vAlign w:val="center"/>
          </w:tcPr>
          <w:p w14:paraId="6D1C3D92" w14:textId="77777777" w:rsidR="00BE522A" w:rsidRDefault="00000000">
            <w:pPr>
              <w:pStyle w:val="ArticleTable"/>
              <w:keepNext/>
              <w:jc w:val="center"/>
            </w:pPr>
            <w:r>
              <w:rPr>
                <w:color w:val="232B32"/>
              </w:rPr>
              <w:t>51–60</w:t>
            </w:r>
          </w:p>
        </w:tc>
        <w:tc>
          <w:tcPr>
            <w:tcW w:w="1500" w:type="dxa"/>
            <w:tcBorders>
              <w:bottom w:val="single" w:sz="4" w:space="0" w:color="D5DEE5"/>
            </w:tcBorders>
            <w:tcMar>
              <w:top w:w="74" w:type="dxa"/>
              <w:left w:w="105" w:type="dxa"/>
              <w:bottom w:w="74" w:type="dxa"/>
              <w:right w:w="105" w:type="dxa"/>
            </w:tcMar>
            <w:vAlign w:val="center"/>
          </w:tcPr>
          <w:p w14:paraId="6F72E9DF" w14:textId="77777777" w:rsidR="00BE522A" w:rsidRDefault="00000000">
            <w:pPr>
              <w:pStyle w:val="ArticleTable"/>
              <w:keepNext/>
              <w:jc w:val="center"/>
            </w:pPr>
            <w:r>
              <w:rPr>
                <w:color w:val="232B32"/>
              </w:rPr>
              <w:t>17 (10,4)</w:t>
            </w:r>
          </w:p>
        </w:tc>
      </w:tr>
      <w:tr w:rsidR="00BE522A" w14:paraId="24905AC6" w14:textId="77777777">
        <w:trPr>
          <w:cantSplit/>
          <w:jc w:val="center"/>
        </w:trPr>
        <w:tc>
          <w:tcPr>
            <w:tcW w:w="1300" w:type="dxa"/>
            <w:tcBorders>
              <w:bottom w:val="single" w:sz="4" w:space="0" w:color="D5DEE5"/>
            </w:tcBorders>
            <w:tcMar>
              <w:top w:w="74" w:type="dxa"/>
              <w:left w:w="105" w:type="dxa"/>
              <w:bottom w:w="74" w:type="dxa"/>
              <w:right w:w="105" w:type="dxa"/>
            </w:tcMar>
            <w:vAlign w:val="center"/>
          </w:tcPr>
          <w:p w14:paraId="09298CBC" w14:textId="77777777" w:rsidR="00BE522A" w:rsidRDefault="00000000">
            <w:pPr>
              <w:pStyle w:val="ArticleTable"/>
              <w:keepNext/>
            </w:pPr>
            <w:r>
              <w:rPr>
                <w:color w:val="232B32"/>
              </w:rPr>
              <w:t>Sedang</w:t>
            </w:r>
          </w:p>
        </w:tc>
        <w:tc>
          <w:tcPr>
            <w:tcW w:w="2200" w:type="dxa"/>
            <w:tcBorders>
              <w:bottom w:val="single" w:sz="4" w:space="0" w:color="D5DEE5"/>
            </w:tcBorders>
            <w:tcMar>
              <w:top w:w="74" w:type="dxa"/>
              <w:left w:w="105" w:type="dxa"/>
              <w:bottom w:w="74" w:type="dxa"/>
              <w:right w:w="105" w:type="dxa"/>
            </w:tcMar>
            <w:vAlign w:val="center"/>
          </w:tcPr>
          <w:p w14:paraId="1A08D0FB" w14:textId="77777777" w:rsidR="00BE522A" w:rsidRDefault="00000000">
            <w:pPr>
              <w:pStyle w:val="ArticleTable"/>
              <w:keepNext/>
              <w:jc w:val="center"/>
            </w:pPr>
            <w:r>
              <w:rPr>
                <w:color w:val="232B32"/>
              </w:rPr>
              <w:t>89–97</w:t>
            </w:r>
          </w:p>
        </w:tc>
        <w:tc>
          <w:tcPr>
            <w:tcW w:w="1500" w:type="dxa"/>
            <w:tcBorders>
              <w:bottom w:val="single" w:sz="4" w:space="0" w:color="D5DEE5"/>
            </w:tcBorders>
            <w:tcMar>
              <w:top w:w="74" w:type="dxa"/>
              <w:left w:w="105" w:type="dxa"/>
              <w:bottom w:w="74" w:type="dxa"/>
              <w:right w:w="105" w:type="dxa"/>
            </w:tcMar>
            <w:vAlign w:val="center"/>
          </w:tcPr>
          <w:p w14:paraId="5F45E800" w14:textId="77777777" w:rsidR="00BE522A" w:rsidRDefault="00000000">
            <w:pPr>
              <w:pStyle w:val="ArticleTable"/>
              <w:keepNext/>
              <w:jc w:val="center"/>
            </w:pPr>
            <w:r>
              <w:rPr>
                <w:color w:val="232B32"/>
              </w:rPr>
              <w:t>111 (67,7)</w:t>
            </w:r>
          </w:p>
        </w:tc>
        <w:tc>
          <w:tcPr>
            <w:tcW w:w="2200" w:type="dxa"/>
            <w:tcBorders>
              <w:bottom w:val="single" w:sz="4" w:space="0" w:color="D5DEE5"/>
            </w:tcBorders>
            <w:tcMar>
              <w:top w:w="74" w:type="dxa"/>
              <w:left w:w="105" w:type="dxa"/>
              <w:bottom w:w="74" w:type="dxa"/>
              <w:right w:w="105" w:type="dxa"/>
            </w:tcMar>
            <w:vAlign w:val="center"/>
          </w:tcPr>
          <w:p w14:paraId="17E23865" w14:textId="77777777" w:rsidR="00BE522A" w:rsidRDefault="00000000">
            <w:pPr>
              <w:pStyle w:val="ArticleTable"/>
              <w:keepNext/>
              <w:jc w:val="center"/>
            </w:pPr>
            <w:r>
              <w:rPr>
                <w:color w:val="232B32"/>
              </w:rPr>
              <w:t>61–73</w:t>
            </w:r>
          </w:p>
        </w:tc>
        <w:tc>
          <w:tcPr>
            <w:tcW w:w="1500" w:type="dxa"/>
            <w:tcBorders>
              <w:bottom w:val="single" w:sz="4" w:space="0" w:color="D5DEE5"/>
            </w:tcBorders>
            <w:tcMar>
              <w:top w:w="74" w:type="dxa"/>
              <w:left w:w="105" w:type="dxa"/>
              <w:bottom w:w="74" w:type="dxa"/>
              <w:right w:w="105" w:type="dxa"/>
            </w:tcMar>
            <w:vAlign w:val="center"/>
          </w:tcPr>
          <w:p w14:paraId="5C9A3FD9" w14:textId="77777777" w:rsidR="00BE522A" w:rsidRDefault="00000000">
            <w:pPr>
              <w:pStyle w:val="ArticleTable"/>
              <w:keepNext/>
              <w:jc w:val="center"/>
            </w:pPr>
            <w:r>
              <w:rPr>
                <w:color w:val="232B32"/>
              </w:rPr>
              <w:t>97 (59,1)</w:t>
            </w:r>
          </w:p>
        </w:tc>
      </w:tr>
      <w:tr w:rsidR="00BE522A" w14:paraId="31C8A5C9" w14:textId="77777777">
        <w:trPr>
          <w:cantSplit/>
          <w:jc w:val="center"/>
        </w:trPr>
        <w:tc>
          <w:tcPr>
            <w:tcW w:w="1300" w:type="dxa"/>
            <w:tcBorders>
              <w:bottom w:val="single" w:sz="4" w:space="0" w:color="D5DEE5"/>
            </w:tcBorders>
            <w:tcMar>
              <w:top w:w="74" w:type="dxa"/>
              <w:left w:w="105" w:type="dxa"/>
              <w:bottom w:w="74" w:type="dxa"/>
              <w:right w:w="105" w:type="dxa"/>
            </w:tcMar>
            <w:vAlign w:val="center"/>
          </w:tcPr>
          <w:p w14:paraId="50F729D5" w14:textId="77777777" w:rsidR="00BE522A" w:rsidRDefault="00000000">
            <w:pPr>
              <w:pStyle w:val="ArticleTable"/>
              <w:keepNext/>
            </w:pPr>
            <w:r>
              <w:rPr>
                <w:color w:val="232B32"/>
              </w:rPr>
              <w:t>Tinggi</w:t>
            </w:r>
          </w:p>
        </w:tc>
        <w:tc>
          <w:tcPr>
            <w:tcW w:w="2200" w:type="dxa"/>
            <w:tcBorders>
              <w:bottom w:val="single" w:sz="4" w:space="0" w:color="D5DEE5"/>
            </w:tcBorders>
            <w:tcMar>
              <w:top w:w="74" w:type="dxa"/>
              <w:left w:w="105" w:type="dxa"/>
              <w:bottom w:w="74" w:type="dxa"/>
              <w:right w:w="105" w:type="dxa"/>
            </w:tcMar>
            <w:vAlign w:val="center"/>
          </w:tcPr>
          <w:p w14:paraId="350CAA4B" w14:textId="77777777" w:rsidR="00BE522A" w:rsidRDefault="00000000">
            <w:pPr>
              <w:pStyle w:val="ArticleTable"/>
              <w:keepNext/>
              <w:jc w:val="center"/>
            </w:pPr>
            <w:r>
              <w:rPr>
                <w:color w:val="232B32"/>
              </w:rPr>
              <w:t>98–108</w:t>
            </w:r>
          </w:p>
        </w:tc>
        <w:tc>
          <w:tcPr>
            <w:tcW w:w="1500" w:type="dxa"/>
            <w:tcBorders>
              <w:bottom w:val="single" w:sz="4" w:space="0" w:color="D5DEE5"/>
            </w:tcBorders>
            <w:tcMar>
              <w:top w:w="74" w:type="dxa"/>
              <w:left w:w="105" w:type="dxa"/>
              <w:bottom w:w="74" w:type="dxa"/>
              <w:right w:w="105" w:type="dxa"/>
            </w:tcMar>
            <w:vAlign w:val="center"/>
          </w:tcPr>
          <w:p w14:paraId="41EDD7E3" w14:textId="77777777" w:rsidR="00BE522A" w:rsidRDefault="00000000">
            <w:pPr>
              <w:pStyle w:val="ArticleTable"/>
              <w:keepNext/>
              <w:jc w:val="center"/>
            </w:pPr>
            <w:r>
              <w:rPr>
                <w:color w:val="232B32"/>
              </w:rPr>
              <w:t>36 (22,0)</w:t>
            </w:r>
          </w:p>
        </w:tc>
        <w:tc>
          <w:tcPr>
            <w:tcW w:w="2200" w:type="dxa"/>
            <w:tcBorders>
              <w:bottom w:val="single" w:sz="4" w:space="0" w:color="D5DEE5"/>
            </w:tcBorders>
            <w:tcMar>
              <w:top w:w="74" w:type="dxa"/>
              <w:left w:w="105" w:type="dxa"/>
              <w:bottom w:w="74" w:type="dxa"/>
              <w:right w:w="105" w:type="dxa"/>
            </w:tcMar>
            <w:vAlign w:val="center"/>
          </w:tcPr>
          <w:p w14:paraId="5C7FF4BB" w14:textId="77777777" w:rsidR="00BE522A" w:rsidRDefault="00000000">
            <w:pPr>
              <w:pStyle w:val="ArticleTable"/>
              <w:keepNext/>
              <w:jc w:val="center"/>
            </w:pPr>
            <w:r>
              <w:rPr>
                <w:color w:val="232B32"/>
              </w:rPr>
              <w:t>74–93</w:t>
            </w:r>
          </w:p>
        </w:tc>
        <w:tc>
          <w:tcPr>
            <w:tcW w:w="1500" w:type="dxa"/>
            <w:tcBorders>
              <w:bottom w:val="single" w:sz="4" w:space="0" w:color="D5DEE5"/>
            </w:tcBorders>
            <w:tcMar>
              <w:top w:w="74" w:type="dxa"/>
              <w:left w:w="105" w:type="dxa"/>
              <w:bottom w:w="74" w:type="dxa"/>
              <w:right w:w="105" w:type="dxa"/>
            </w:tcMar>
            <w:vAlign w:val="center"/>
          </w:tcPr>
          <w:p w14:paraId="33DC9EE6" w14:textId="77777777" w:rsidR="00BE522A" w:rsidRDefault="00000000">
            <w:pPr>
              <w:pStyle w:val="ArticleTable"/>
              <w:keepNext/>
              <w:jc w:val="center"/>
            </w:pPr>
            <w:r>
              <w:rPr>
                <w:color w:val="232B32"/>
              </w:rPr>
              <w:t>50 (30,5)</w:t>
            </w:r>
          </w:p>
        </w:tc>
      </w:tr>
      <w:tr w:rsidR="00BE522A" w14:paraId="64DB9CCF" w14:textId="77777777">
        <w:trPr>
          <w:cantSplit/>
          <w:jc w:val="center"/>
        </w:trPr>
        <w:tc>
          <w:tcPr>
            <w:tcW w:w="1300" w:type="dxa"/>
            <w:tcBorders>
              <w:bottom w:val="single" w:sz="4" w:space="0" w:color="D5DEE5"/>
            </w:tcBorders>
            <w:tcMar>
              <w:top w:w="74" w:type="dxa"/>
              <w:left w:w="105" w:type="dxa"/>
              <w:bottom w:w="74" w:type="dxa"/>
              <w:right w:w="105" w:type="dxa"/>
            </w:tcMar>
            <w:vAlign w:val="center"/>
          </w:tcPr>
          <w:p w14:paraId="798CEDC0" w14:textId="77777777" w:rsidR="00BE522A" w:rsidRDefault="00000000">
            <w:pPr>
              <w:pStyle w:val="ArticleTable"/>
            </w:pPr>
            <w:r>
              <w:rPr>
                <w:b/>
                <w:color w:val="232B32"/>
              </w:rPr>
              <w:t>Total</w:t>
            </w:r>
          </w:p>
        </w:tc>
        <w:tc>
          <w:tcPr>
            <w:tcW w:w="2200" w:type="dxa"/>
            <w:tcBorders>
              <w:bottom w:val="single" w:sz="4" w:space="0" w:color="D5DEE5"/>
            </w:tcBorders>
            <w:tcMar>
              <w:top w:w="74" w:type="dxa"/>
              <w:left w:w="105" w:type="dxa"/>
              <w:bottom w:w="74" w:type="dxa"/>
              <w:right w:w="105" w:type="dxa"/>
            </w:tcMar>
            <w:vAlign w:val="center"/>
          </w:tcPr>
          <w:p w14:paraId="2E89E7DF" w14:textId="77777777" w:rsidR="00BE522A" w:rsidRDefault="00BE522A">
            <w:pPr>
              <w:pStyle w:val="ArticleTable"/>
              <w:jc w:val="center"/>
            </w:pPr>
          </w:p>
        </w:tc>
        <w:tc>
          <w:tcPr>
            <w:tcW w:w="1500" w:type="dxa"/>
            <w:tcBorders>
              <w:bottom w:val="single" w:sz="4" w:space="0" w:color="D5DEE5"/>
            </w:tcBorders>
            <w:tcMar>
              <w:top w:w="74" w:type="dxa"/>
              <w:left w:w="105" w:type="dxa"/>
              <w:bottom w:w="74" w:type="dxa"/>
              <w:right w:w="105" w:type="dxa"/>
            </w:tcMar>
            <w:vAlign w:val="center"/>
          </w:tcPr>
          <w:p w14:paraId="7B9118EB" w14:textId="77777777" w:rsidR="00BE522A" w:rsidRDefault="00000000">
            <w:pPr>
              <w:pStyle w:val="ArticleTable"/>
              <w:jc w:val="center"/>
            </w:pPr>
            <w:r>
              <w:rPr>
                <w:b/>
                <w:color w:val="232B32"/>
              </w:rPr>
              <w:t>164 (100)</w:t>
            </w:r>
          </w:p>
        </w:tc>
        <w:tc>
          <w:tcPr>
            <w:tcW w:w="2200" w:type="dxa"/>
            <w:tcBorders>
              <w:bottom w:val="single" w:sz="4" w:space="0" w:color="D5DEE5"/>
            </w:tcBorders>
            <w:tcMar>
              <w:top w:w="74" w:type="dxa"/>
              <w:left w:w="105" w:type="dxa"/>
              <w:bottom w:w="74" w:type="dxa"/>
              <w:right w:w="105" w:type="dxa"/>
            </w:tcMar>
            <w:vAlign w:val="center"/>
          </w:tcPr>
          <w:p w14:paraId="0875F772" w14:textId="77777777" w:rsidR="00BE522A" w:rsidRDefault="00BE522A">
            <w:pPr>
              <w:pStyle w:val="ArticleTable"/>
              <w:jc w:val="center"/>
            </w:pPr>
          </w:p>
        </w:tc>
        <w:tc>
          <w:tcPr>
            <w:tcW w:w="1500" w:type="dxa"/>
            <w:tcBorders>
              <w:bottom w:val="single" w:sz="4" w:space="0" w:color="D5DEE5"/>
            </w:tcBorders>
            <w:tcMar>
              <w:top w:w="74" w:type="dxa"/>
              <w:left w:w="105" w:type="dxa"/>
              <w:bottom w:w="74" w:type="dxa"/>
              <w:right w:w="105" w:type="dxa"/>
            </w:tcMar>
            <w:vAlign w:val="center"/>
          </w:tcPr>
          <w:p w14:paraId="30A27E7F" w14:textId="77777777" w:rsidR="00BE522A" w:rsidRDefault="00000000">
            <w:pPr>
              <w:pStyle w:val="ArticleTable"/>
              <w:jc w:val="center"/>
            </w:pPr>
            <w:r>
              <w:rPr>
                <w:b/>
                <w:color w:val="232B32"/>
              </w:rPr>
              <w:t>164 (100)</w:t>
            </w:r>
          </w:p>
        </w:tc>
      </w:tr>
    </w:tbl>
    <w:p w14:paraId="581BA6C3" w14:textId="77777777" w:rsidR="00BE522A" w:rsidRDefault="00000000">
      <w:pPr>
        <w:spacing w:before="20" w:after="80"/>
        <w:ind w:firstLine="0"/>
        <w:jc w:val="left"/>
      </w:pPr>
      <w:r>
        <w:rPr>
          <w:i/>
          <w:color w:val="56626E"/>
          <w:sz w:val="16"/>
          <w:szCs w:val="16"/>
        </w:rPr>
        <w:t>Catatan: f = frekuensi. Kategori disusun dari M ± 1SD sampel sehingga bersifat relatif terhadap kelompok.</w:t>
      </w:r>
    </w:p>
    <w:p w14:paraId="37D96074" w14:textId="77777777" w:rsidR="00BE522A" w:rsidRDefault="00000000">
      <w:r>
        <w:t>Temuan ini dapat ditafsirkan bahwa sebagian besar siswa memiliki keyakinan yang cukup positif tentang kemungkinan mengembangkan kemampuan melalui usaha, tetapi keyakinan tersebut belum kuat pada sebagian besar dari mereka. Penafsiran ini perlu hati-hati karena kategori disusun relatif terhadap sebaran sampel. Kategori sedang berarti skor siswa berada di sekitar rerata kelompok, bukan bahwa mereka mencapai tingkat tertentu secara absolut. Simpangan baku yang relatif kecil (4,801) dibandingkan dengan rentang skor teoretis yang lebar (37 sampai 148) juga menunjukkan bahwa keyakinan siswa cukup seragam, sehingga variasi yang dapat dijelaskan dalam analisis lanjutan menjadi terbatas.</w:t>
      </w:r>
    </w:p>
    <w:p w14:paraId="29562546" w14:textId="77777777" w:rsidR="00BE522A" w:rsidRDefault="00000000">
      <w:r>
        <w:t xml:space="preserve">Hasil tersebut sejalan dengan pandangan bahwa </w:t>
      </w:r>
      <w:r>
        <w:rPr>
          <w:i/>
        </w:rPr>
        <w:t>mindset</w:t>
      </w:r>
      <w:r>
        <w:t xml:space="preserve"> bersifat dapat dibentuk dan dipengaruhi pengalaman belajar </w:t>
      </w:r>
      <w:r>
        <w:rPr>
          <w:color w:val="0000FF"/>
        </w:rPr>
        <w:t>(</w:t>
      </w:r>
      <w:hyperlink w:anchor="ref_dweck2006" w:history="1">
        <w:r>
          <w:rPr>
            <w:color w:val="0000FF"/>
          </w:rPr>
          <w:t>Dweck, 2006</w:t>
        </w:r>
      </w:hyperlink>
      <w:r>
        <w:rPr>
          <w:color w:val="0000FF"/>
        </w:rPr>
        <w:t xml:space="preserve">; </w:t>
      </w:r>
      <w:hyperlink w:anchor="ref_yeagerd" w:history="1">
        <w:r>
          <w:rPr>
            <w:color w:val="0000FF"/>
          </w:rPr>
          <w:t>Yeager &amp; Dweck, 2012</w:t>
        </w:r>
      </w:hyperlink>
      <w:r>
        <w:rPr>
          <w:color w:val="0000FF"/>
        </w:rPr>
        <w:t>)</w:t>
      </w:r>
      <w:r>
        <w:t xml:space="preserve">. Individu dengan pola pikir berkembang cenderung lebih mudah beradaptasi dan tidak mudah menyerah ketika menghadapi kegagalan di dunia pendidikan </w:t>
      </w:r>
      <w:r>
        <w:rPr>
          <w:color w:val="0000FF"/>
        </w:rPr>
        <w:t>(</w:t>
      </w:r>
      <w:hyperlink w:anchor="ref_pratiwi" w:history="1">
        <w:r>
          <w:rPr>
            <w:color w:val="0000FF"/>
          </w:rPr>
          <w:t>Pratiwi et al., 2023</w:t>
        </w:r>
      </w:hyperlink>
      <w:r>
        <w:rPr>
          <w:color w:val="0000FF"/>
        </w:rPr>
        <w:t>)</w:t>
      </w:r>
      <w:r>
        <w:t xml:space="preserve">. Oleh karena itu, dominasi kategori sedang menunjukkan adanya ruang yang nyata untuk memperkuat keyakinan tersebut melalui layanan bimbingan dan konseling, terutama bagi 17 </w:t>
      </w:r>
      <w:proofErr w:type="spellStart"/>
      <w:r>
        <w:t>siswa</w:t>
      </w:r>
      <w:proofErr w:type="spellEnd"/>
      <w:r>
        <w:t xml:space="preserve"> pada </w:t>
      </w:r>
      <w:proofErr w:type="spellStart"/>
      <w:r>
        <w:t>kategori</w:t>
      </w:r>
      <w:proofErr w:type="spellEnd"/>
      <w:r>
        <w:t xml:space="preserve"> </w:t>
      </w:r>
      <w:proofErr w:type="spellStart"/>
      <w:r>
        <w:t>rendah</w:t>
      </w:r>
      <w:proofErr w:type="spellEnd"/>
      <w:r>
        <w:t>.</w:t>
      </w:r>
    </w:p>
    <w:p w14:paraId="1B8BBA7C" w14:textId="77777777" w:rsidR="00E75E1B" w:rsidRDefault="00E75E1B"/>
    <w:p w14:paraId="68E0ADD1" w14:textId="77777777" w:rsidR="00BE522A" w:rsidRDefault="00000000">
      <w:pPr>
        <w:pStyle w:val="Judul2"/>
        <w:spacing w:before="0"/>
        <w:ind w:firstLine="0"/>
      </w:pPr>
      <w:r>
        <w:rPr>
          <w:i/>
          <w:sz w:val="24"/>
          <w:szCs w:val="24"/>
        </w:rPr>
        <w:t>Gambaran Skor dan Tingkat Academic Grit Siswa</w:t>
      </w:r>
    </w:p>
    <w:p w14:paraId="0E791E65" w14:textId="77777777" w:rsidR="00BE522A" w:rsidRDefault="00000000">
      <w:r>
        <w:t xml:space="preserve">Skor </w:t>
      </w:r>
      <w:r>
        <w:rPr>
          <w:i/>
        </w:rPr>
        <w:t>academic grit</w:t>
      </w:r>
      <w:r>
        <w:t xml:space="preserve"> berkisar antara 51 dan 93 dengan rerata 67,56 dan simpangan baku 6,305 (Tabel 3). Dengan 29 butir, rerata per butir adalah 2,33, yaitu sedikit di bawah titik tengah skala. Sebanyak 17 siswa (10,4%) berada pada kategori rendah, 97 siswa (59,1%) pada kategori sedang, dan 50 siswa (30,5%) pada kategori tinggi (Tabel 4).</w:t>
      </w:r>
    </w:p>
    <w:p w14:paraId="578FB8A5" w14:textId="77777777" w:rsidR="00BE522A" w:rsidRDefault="00000000">
      <w:r>
        <w:t xml:space="preserve">Hasil ini menunjukkan bahwa mayoritas siswa memiliki ketekunan, ketangguhan, dan fokus belajar pada tingkat menengah relatif terhadap teman sekelompoknya. Siswa pada kategori tinggi dapat dipahami sebagai siswa yang mempertahankan usaha dan tujuan akademik meskipun menghadapi hambatan, sedangkan siswa pada kategori rendah cenderung mudah menyerah ketika menemui kesulitan belajar. Karena rerata per butir berada sedikit di bawah titik tengah skala, kategori sedang sebaiknya tidak dibaca sebagai kondisi yang sudah memadai. Pembacaan ini sejalan dengan definisi </w:t>
      </w:r>
      <w:r>
        <w:rPr>
          <w:i/>
        </w:rPr>
        <w:t>academic grit</w:t>
      </w:r>
      <w:r>
        <w:t xml:space="preserve"> sebagai karakteristik yang mencakup tekad, ketangguhan, dan fokus dalam mengejar tujuan belajar </w:t>
      </w:r>
      <w:r>
        <w:rPr>
          <w:color w:val="0000FF"/>
        </w:rPr>
        <w:t>(</w:t>
      </w:r>
      <w:hyperlink w:anchor="ref_clark" w:history="1">
        <w:r>
          <w:rPr>
            <w:color w:val="0000FF"/>
          </w:rPr>
          <w:t>Clark &amp; Malecki, 2019</w:t>
        </w:r>
      </w:hyperlink>
      <w:r>
        <w:rPr>
          <w:color w:val="0000FF"/>
        </w:rPr>
        <w:t>)</w:t>
      </w:r>
      <w:r>
        <w:t xml:space="preserve">. Konsep ini juga bertumpu pada gagasan awal tentang </w:t>
      </w:r>
      <w:r>
        <w:rPr>
          <w:i/>
        </w:rPr>
        <w:t>grit</w:t>
      </w:r>
      <w:r>
        <w:t xml:space="preserve"> sebagai ketekunan dan semangat terhadap tujuan jangka panjang </w:t>
      </w:r>
      <w:r>
        <w:rPr>
          <w:color w:val="0000FF"/>
        </w:rPr>
        <w:t>(</w:t>
      </w:r>
      <w:hyperlink w:anchor="ref_duck2007" w:history="1">
        <w:r>
          <w:rPr>
            <w:color w:val="0000FF"/>
          </w:rPr>
          <w:t>Duckworth et al., 2007</w:t>
        </w:r>
      </w:hyperlink>
      <w:r>
        <w:rPr>
          <w:color w:val="0000FF"/>
        </w:rPr>
        <w:t>)</w:t>
      </w:r>
      <w:r>
        <w:t>.</w:t>
      </w:r>
    </w:p>
    <w:p w14:paraId="3FAB755F" w14:textId="77777777" w:rsidR="00BE522A" w:rsidRDefault="00000000">
      <w:r>
        <w:t xml:space="preserve">Makna praktis dari sebaran ini terkait dengan bukti bahwa </w:t>
      </w:r>
      <w:r>
        <w:rPr>
          <w:i/>
        </w:rPr>
        <w:t>grit</w:t>
      </w:r>
      <w:r>
        <w:t xml:space="preserve"> berhubungan positif dengan prestasi akademik, meskipun kekuatan hubungannya tergolong sedang dan lebih menonjol pada komponen ketekunan usaha </w:t>
      </w:r>
      <w:r>
        <w:rPr>
          <w:color w:val="0000FF"/>
        </w:rPr>
        <w:t>(</w:t>
      </w:r>
      <w:hyperlink w:anchor="ref_lam" w:history="1">
        <w:r>
          <w:rPr>
            <w:color w:val="0000FF"/>
          </w:rPr>
          <w:t>Lam &amp; Zhou, 2022</w:t>
        </w:r>
      </w:hyperlink>
      <w:r>
        <w:rPr>
          <w:color w:val="0000FF"/>
        </w:rPr>
        <w:t>)</w:t>
      </w:r>
      <w:r>
        <w:t xml:space="preserve">. Hubungan yang lemah tetapi signifikan juga dilaporkan pada mahasiswa di Indonesia </w:t>
      </w:r>
      <w:r>
        <w:rPr>
          <w:color w:val="0000FF"/>
        </w:rPr>
        <w:t>(</w:t>
      </w:r>
      <w:hyperlink w:anchor="ref_izz" w:history="1">
        <w:r>
          <w:rPr>
            <w:color w:val="0000FF"/>
          </w:rPr>
          <w:t>Izzulhaq et al., 2023</w:t>
        </w:r>
      </w:hyperlink>
      <w:r>
        <w:rPr>
          <w:color w:val="0000FF"/>
        </w:rPr>
        <w:t>)</w:t>
      </w:r>
      <w:r>
        <w:t xml:space="preserve">. Dengan demikian, 17 siswa pada kategori rendah layak memperoleh perhatian layanan, sedangkan siswa pada kategori sedang dan tinggi dapat difasilitasi agar mempertahankan usaha mereka. Dalam pembahasan, perlu pula dibedakan antara </w:t>
      </w:r>
      <w:r>
        <w:rPr>
          <w:i/>
        </w:rPr>
        <w:t>grit</w:t>
      </w:r>
      <w:r>
        <w:t xml:space="preserve"> dan resiliensi karena keduanya sering dibahas bersama dalam literatur dan </w:t>
      </w:r>
      <w:r>
        <w:lastRenderedPageBreak/>
        <w:t xml:space="preserve">memiliki irisan konseptual </w:t>
      </w:r>
      <w:r>
        <w:rPr>
          <w:color w:val="0000FF"/>
        </w:rPr>
        <w:t>(</w:t>
      </w:r>
      <w:hyperlink w:anchor="ref_stoffel" w:history="1">
        <w:r>
          <w:rPr>
            <w:color w:val="0000FF"/>
          </w:rPr>
          <w:t>Stoffel &amp; Cain, 2018</w:t>
        </w:r>
      </w:hyperlink>
      <w:r>
        <w:rPr>
          <w:color w:val="0000FF"/>
        </w:rPr>
        <w:t>)</w:t>
      </w:r>
      <w:r>
        <w:t xml:space="preserve">. Aspek ketangguhan pada skala yang digunakan di </w:t>
      </w:r>
      <w:proofErr w:type="spellStart"/>
      <w:r>
        <w:t>sini</w:t>
      </w:r>
      <w:proofErr w:type="spellEnd"/>
      <w:r>
        <w:t xml:space="preserve"> </w:t>
      </w:r>
      <w:proofErr w:type="spellStart"/>
      <w:r>
        <w:t>mencerminkan</w:t>
      </w:r>
      <w:proofErr w:type="spellEnd"/>
      <w:r>
        <w:t xml:space="preserve"> </w:t>
      </w:r>
      <w:proofErr w:type="spellStart"/>
      <w:r>
        <w:t>irisan</w:t>
      </w:r>
      <w:proofErr w:type="spellEnd"/>
      <w:r>
        <w:t xml:space="preserve"> </w:t>
      </w:r>
      <w:proofErr w:type="spellStart"/>
      <w:r>
        <w:t>tersebut</w:t>
      </w:r>
      <w:proofErr w:type="spellEnd"/>
      <w:r>
        <w:t>.</w:t>
      </w:r>
    </w:p>
    <w:p w14:paraId="597CCD4F" w14:textId="77777777" w:rsidR="00E75E1B" w:rsidRDefault="00E75E1B"/>
    <w:p w14:paraId="2FC298C7" w14:textId="77777777" w:rsidR="00BE522A" w:rsidRDefault="00000000">
      <w:pPr>
        <w:pStyle w:val="Judul2"/>
        <w:spacing w:before="0"/>
        <w:ind w:firstLine="0"/>
      </w:pPr>
      <w:r>
        <w:rPr>
          <w:i/>
          <w:sz w:val="24"/>
          <w:szCs w:val="24"/>
        </w:rPr>
        <w:t>Pemenuhan Asumsi Analisis Regresi</w:t>
      </w:r>
    </w:p>
    <w:p w14:paraId="576BC6E9" w14:textId="77777777" w:rsidR="00BE522A" w:rsidRDefault="00000000">
      <w:r>
        <w:t>Sebelum pengujian hipotesis, tiga asumsi diperiksa. Uji Kolmogorov-Smirnov pada residual tidak terstandar menghasilkan statistik uji 0,056 dengan Sig. 0,200 (</w:t>
      </w:r>
      <w:r>
        <w:rPr>
          <w:i/>
        </w:rPr>
        <w:t>N</w:t>
      </w:r>
      <w:r>
        <w:t xml:space="preserve"> = 164), sehingga residual berdistribusi normal. Uji linearitas menghasilkan Sig. 0,141 pada </w:t>
      </w:r>
      <w:r>
        <w:rPr>
          <w:i/>
        </w:rPr>
        <w:t>deviation from linearity</w:t>
      </w:r>
      <w:r>
        <w:t>, sehingga tidak ada penyimpangan yang berarti dari hubungan linier. Uji Glejser menghasilkan koefisien −0,006 dengan Sig. 0,923, sehingga tidak ditemukan heteroskedastisitas (Tabel 5).</w:t>
      </w:r>
    </w:p>
    <w:p w14:paraId="5CBAB076" w14:textId="77777777" w:rsidR="00BE522A" w:rsidRDefault="00000000">
      <w:pPr>
        <w:keepNext/>
        <w:spacing w:before="100" w:after="60"/>
        <w:ind w:firstLine="0"/>
        <w:jc w:val="center"/>
      </w:pPr>
      <w:r>
        <w:rPr>
          <w:b/>
          <w:color w:val="20303F"/>
        </w:rPr>
        <w:t xml:space="preserve">Tabel 5. </w:t>
      </w:r>
      <w:r>
        <w:rPr>
          <w:color w:val="20303F"/>
        </w:rPr>
        <w:t>Hasil uji prasyarat analisis regresi</w:t>
      </w:r>
    </w:p>
    <w:tbl>
      <w:tblPr>
        <w:tblW w:w="0" w:type="auto"/>
        <w:jc w:val="center"/>
        <w:tblLayout w:type="fixed"/>
        <w:tblLook w:val="04A0" w:firstRow="1" w:lastRow="0" w:firstColumn="1" w:lastColumn="0" w:noHBand="0" w:noVBand="1"/>
      </w:tblPr>
      <w:tblGrid>
        <w:gridCol w:w="3567"/>
        <w:gridCol w:w="1529"/>
        <w:gridCol w:w="1019"/>
        <w:gridCol w:w="2955"/>
      </w:tblGrid>
      <w:tr w:rsidR="00BE522A" w14:paraId="7C7CFF8A" w14:textId="77777777">
        <w:trPr>
          <w:cantSplit/>
          <w:tblHeader/>
          <w:jc w:val="center"/>
        </w:trPr>
        <w:tc>
          <w:tcPr>
            <w:tcW w:w="3567" w:type="dxa"/>
            <w:tcBorders>
              <w:bottom w:val="single" w:sz="10" w:space="0" w:color="8CA5B8"/>
            </w:tcBorders>
            <w:tcMar>
              <w:top w:w="74" w:type="dxa"/>
              <w:left w:w="105" w:type="dxa"/>
              <w:bottom w:w="74" w:type="dxa"/>
              <w:right w:w="105" w:type="dxa"/>
            </w:tcMar>
            <w:vAlign w:val="center"/>
          </w:tcPr>
          <w:p w14:paraId="01107437" w14:textId="77777777" w:rsidR="00BE522A" w:rsidRDefault="00000000">
            <w:pPr>
              <w:pStyle w:val="ArticleTable"/>
              <w:keepNext/>
              <w:jc w:val="center"/>
            </w:pPr>
            <w:r>
              <w:rPr>
                <w:b/>
                <w:color w:val="203140"/>
              </w:rPr>
              <w:t>Uji</w:t>
            </w:r>
          </w:p>
        </w:tc>
        <w:tc>
          <w:tcPr>
            <w:tcW w:w="1529" w:type="dxa"/>
            <w:tcBorders>
              <w:bottom w:val="single" w:sz="10" w:space="0" w:color="8CA5B8"/>
            </w:tcBorders>
            <w:tcMar>
              <w:top w:w="74" w:type="dxa"/>
              <w:left w:w="105" w:type="dxa"/>
              <w:bottom w:w="74" w:type="dxa"/>
              <w:right w:w="105" w:type="dxa"/>
            </w:tcMar>
            <w:vAlign w:val="center"/>
          </w:tcPr>
          <w:p w14:paraId="6F47112F" w14:textId="77777777" w:rsidR="00BE522A" w:rsidRDefault="00000000">
            <w:pPr>
              <w:pStyle w:val="ArticleTable"/>
              <w:keepNext/>
              <w:jc w:val="center"/>
            </w:pPr>
            <w:r>
              <w:rPr>
                <w:b/>
                <w:color w:val="203140"/>
              </w:rPr>
              <w:t>Statistik</w:t>
            </w:r>
          </w:p>
        </w:tc>
        <w:tc>
          <w:tcPr>
            <w:tcW w:w="1019" w:type="dxa"/>
            <w:tcBorders>
              <w:bottom w:val="single" w:sz="10" w:space="0" w:color="8CA5B8"/>
            </w:tcBorders>
            <w:tcMar>
              <w:top w:w="74" w:type="dxa"/>
              <w:left w:w="105" w:type="dxa"/>
              <w:bottom w:w="74" w:type="dxa"/>
              <w:right w:w="105" w:type="dxa"/>
            </w:tcMar>
            <w:vAlign w:val="center"/>
          </w:tcPr>
          <w:p w14:paraId="146B228D" w14:textId="77777777" w:rsidR="00BE522A" w:rsidRDefault="00000000">
            <w:pPr>
              <w:pStyle w:val="ArticleTable"/>
              <w:keepNext/>
              <w:jc w:val="center"/>
            </w:pPr>
            <w:r>
              <w:rPr>
                <w:b/>
                <w:color w:val="203140"/>
              </w:rPr>
              <w:t>Sig.</w:t>
            </w:r>
          </w:p>
        </w:tc>
        <w:tc>
          <w:tcPr>
            <w:tcW w:w="2955" w:type="dxa"/>
            <w:tcBorders>
              <w:bottom w:val="single" w:sz="10" w:space="0" w:color="8CA5B8"/>
            </w:tcBorders>
            <w:tcMar>
              <w:top w:w="74" w:type="dxa"/>
              <w:left w:w="105" w:type="dxa"/>
              <w:bottom w:w="74" w:type="dxa"/>
              <w:right w:w="105" w:type="dxa"/>
            </w:tcMar>
            <w:vAlign w:val="center"/>
          </w:tcPr>
          <w:p w14:paraId="6D193E6E" w14:textId="77777777" w:rsidR="00BE522A" w:rsidRDefault="00000000">
            <w:pPr>
              <w:pStyle w:val="ArticleTable"/>
              <w:keepNext/>
              <w:jc w:val="center"/>
            </w:pPr>
            <w:r>
              <w:rPr>
                <w:b/>
                <w:color w:val="203140"/>
              </w:rPr>
              <w:t>Keputusan</w:t>
            </w:r>
          </w:p>
        </w:tc>
      </w:tr>
      <w:tr w:rsidR="00BE522A" w14:paraId="2A8AF85E" w14:textId="77777777">
        <w:trPr>
          <w:cantSplit/>
          <w:jc w:val="center"/>
        </w:trPr>
        <w:tc>
          <w:tcPr>
            <w:tcW w:w="3567" w:type="dxa"/>
            <w:tcBorders>
              <w:bottom w:val="single" w:sz="4" w:space="0" w:color="D5DEE5"/>
            </w:tcBorders>
            <w:tcMar>
              <w:top w:w="74" w:type="dxa"/>
              <w:left w:w="105" w:type="dxa"/>
              <w:bottom w:w="74" w:type="dxa"/>
              <w:right w:w="105" w:type="dxa"/>
            </w:tcMar>
            <w:vAlign w:val="center"/>
          </w:tcPr>
          <w:p w14:paraId="62643B74" w14:textId="77777777" w:rsidR="00BE522A" w:rsidRDefault="00000000">
            <w:pPr>
              <w:pStyle w:val="ArticleTable"/>
              <w:keepNext/>
            </w:pPr>
            <w:r>
              <w:rPr>
                <w:color w:val="232B32"/>
              </w:rPr>
              <w:t>Normalitas residual (Kolmogorov-Smirnov)</w:t>
            </w:r>
          </w:p>
        </w:tc>
        <w:tc>
          <w:tcPr>
            <w:tcW w:w="1529" w:type="dxa"/>
            <w:tcBorders>
              <w:bottom w:val="single" w:sz="4" w:space="0" w:color="D5DEE5"/>
            </w:tcBorders>
            <w:tcMar>
              <w:top w:w="74" w:type="dxa"/>
              <w:left w:w="105" w:type="dxa"/>
              <w:bottom w:w="74" w:type="dxa"/>
              <w:right w:w="105" w:type="dxa"/>
            </w:tcMar>
            <w:vAlign w:val="center"/>
          </w:tcPr>
          <w:p w14:paraId="3A49C7C1" w14:textId="77777777" w:rsidR="00BE522A" w:rsidRDefault="00000000">
            <w:pPr>
              <w:pStyle w:val="ArticleTable"/>
              <w:keepNext/>
              <w:jc w:val="center"/>
            </w:pPr>
            <w:r>
              <w:rPr>
                <w:color w:val="232B32"/>
              </w:rPr>
              <w:t>0,056</w:t>
            </w:r>
          </w:p>
        </w:tc>
        <w:tc>
          <w:tcPr>
            <w:tcW w:w="1019" w:type="dxa"/>
            <w:tcBorders>
              <w:bottom w:val="single" w:sz="4" w:space="0" w:color="D5DEE5"/>
            </w:tcBorders>
            <w:tcMar>
              <w:top w:w="74" w:type="dxa"/>
              <w:left w:w="105" w:type="dxa"/>
              <w:bottom w:w="74" w:type="dxa"/>
              <w:right w:w="105" w:type="dxa"/>
            </w:tcMar>
            <w:vAlign w:val="center"/>
          </w:tcPr>
          <w:p w14:paraId="3B80FF32" w14:textId="77777777" w:rsidR="00BE522A" w:rsidRDefault="00000000">
            <w:pPr>
              <w:pStyle w:val="ArticleTable"/>
              <w:keepNext/>
              <w:jc w:val="center"/>
            </w:pPr>
            <w:r>
              <w:rPr>
                <w:color w:val="232B32"/>
              </w:rPr>
              <w:t>0,200</w:t>
            </w:r>
          </w:p>
        </w:tc>
        <w:tc>
          <w:tcPr>
            <w:tcW w:w="2955" w:type="dxa"/>
            <w:tcBorders>
              <w:bottom w:val="single" w:sz="4" w:space="0" w:color="D5DEE5"/>
            </w:tcBorders>
            <w:tcMar>
              <w:top w:w="74" w:type="dxa"/>
              <w:left w:w="105" w:type="dxa"/>
              <w:bottom w:w="74" w:type="dxa"/>
              <w:right w:w="105" w:type="dxa"/>
            </w:tcMar>
            <w:vAlign w:val="center"/>
          </w:tcPr>
          <w:p w14:paraId="5ECAF0F6" w14:textId="77777777" w:rsidR="00BE522A" w:rsidRDefault="00000000">
            <w:pPr>
              <w:pStyle w:val="ArticleTable"/>
              <w:keepNext/>
            </w:pPr>
            <w:r>
              <w:rPr>
                <w:color w:val="232B32"/>
              </w:rPr>
              <w:t>Berdistribusi normal</w:t>
            </w:r>
          </w:p>
        </w:tc>
      </w:tr>
      <w:tr w:rsidR="00BE522A" w14:paraId="2041A685" w14:textId="77777777">
        <w:trPr>
          <w:cantSplit/>
          <w:jc w:val="center"/>
        </w:trPr>
        <w:tc>
          <w:tcPr>
            <w:tcW w:w="3567" w:type="dxa"/>
            <w:tcBorders>
              <w:bottom w:val="single" w:sz="4" w:space="0" w:color="D5DEE5"/>
            </w:tcBorders>
            <w:tcMar>
              <w:top w:w="74" w:type="dxa"/>
              <w:left w:w="105" w:type="dxa"/>
              <w:bottom w:w="74" w:type="dxa"/>
              <w:right w:w="105" w:type="dxa"/>
            </w:tcMar>
            <w:vAlign w:val="center"/>
          </w:tcPr>
          <w:p w14:paraId="3066F050" w14:textId="77777777" w:rsidR="00BE522A" w:rsidRDefault="00000000">
            <w:pPr>
              <w:pStyle w:val="ArticleTable"/>
              <w:keepNext/>
            </w:pPr>
            <w:r>
              <w:rPr>
                <w:color w:val="232B32"/>
              </w:rPr>
              <w:t>Linearitas (</w:t>
            </w:r>
            <w:r>
              <w:rPr>
                <w:i/>
                <w:color w:val="232B32"/>
              </w:rPr>
              <w:t>deviation from linearity</w:t>
            </w:r>
            <w:r>
              <w:rPr>
                <w:color w:val="232B32"/>
              </w:rPr>
              <w:t>)</w:t>
            </w:r>
          </w:p>
        </w:tc>
        <w:tc>
          <w:tcPr>
            <w:tcW w:w="1529" w:type="dxa"/>
            <w:tcBorders>
              <w:bottom w:val="single" w:sz="4" w:space="0" w:color="D5DEE5"/>
            </w:tcBorders>
            <w:tcMar>
              <w:top w:w="74" w:type="dxa"/>
              <w:left w:w="105" w:type="dxa"/>
              <w:bottom w:w="74" w:type="dxa"/>
              <w:right w:w="105" w:type="dxa"/>
            </w:tcMar>
            <w:vAlign w:val="center"/>
          </w:tcPr>
          <w:p w14:paraId="781DEF72" w14:textId="77777777" w:rsidR="00BE522A" w:rsidRDefault="00BE522A">
            <w:pPr>
              <w:pStyle w:val="ArticleTable"/>
              <w:keepNext/>
              <w:jc w:val="center"/>
            </w:pPr>
          </w:p>
        </w:tc>
        <w:tc>
          <w:tcPr>
            <w:tcW w:w="1019" w:type="dxa"/>
            <w:tcBorders>
              <w:bottom w:val="single" w:sz="4" w:space="0" w:color="D5DEE5"/>
            </w:tcBorders>
            <w:tcMar>
              <w:top w:w="74" w:type="dxa"/>
              <w:left w:w="105" w:type="dxa"/>
              <w:bottom w:w="74" w:type="dxa"/>
              <w:right w:w="105" w:type="dxa"/>
            </w:tcMar>
            <w:vAlign w:val="center"/>
          </w:tcPr>
          <w:p w14:paraId="2F77E612" w14:textId="77777777" w:rsidR="00BE522A" w:rsidRDefault="00000000">
            <w:pPr>
              <w:pStyle w:val="ArticleTable"/>
              <w:keepNext/>
              <w:jc w:val="center"/>
            </w:pPr>
            <w:r>
              <w:rPr>
                <w:color w:val="232B32"/>
              </w:rPr>
              <w:t>0,141</w:t>
            </w:r>
          </w:p>
        </w:tc>
        <w:tc>
          <w:tcPr>
            <w:tcW w:w="2955" w:type="dxa"/>
            <w:tcBorders>
              <w:bottom w:val="single" w:sz="4" w:space="0" w:color="D5DEE5"/>
            </w:tcBorders>
            <w:tcMar>
              <w:top w:w="74" w:type="dxa"/>
              <w:left w:w="105" w:type="dxa"/>
              <w:bottom w:w="74" w:type="dxa"/>
              <w:right w:w="105" w:type="dxa"/>
            </w:tcMar>
            <w:vAlign w:val="center"/>
          </w:tcPr>
          <w:p w14:paraId="25C20B8B" w14:textId="77777777" w:rsidR="00BE522A" w:rsidRDefault="00000000">
            <w:pPr>
              <w:pStyle w:val="ArticleTable"/>
              <w:keepNext/>
            </w:pPr>
            <w:r>
              <w:rPr>
                <w:color w:val="232B32"/>
              </w:rPr>
              <w:t>Linear</w:t>
            </w:r>
          </w:p>
        </w:tc>
      </w:tr>
      <w:tr w:rsidR="00BE522A" w14:paraId="5F91AD02" w14:textId="77777777">
        <w:trPr>
          <w:cantSplit/>
          <w:jc w:val="center"/>
        </w:trPr>
        <w:tc>
          <w:tcPr>
            <w:tcW w:w="3567" w:type="dxa"/>
            <w:tcBorders>
              <w:bottom w:val="single" w:sz="4" w:space="0" w:color="D5DEE5"/>
            </w:tcBorders>
            <w:tcMar>
              <w:top w:w="74" w:type="dxa"/>
              <w:left w:w="105" w:type="dxa"/>
              <w:bottom w:w="74" w:type="dxa"/>
              <w:right w:w="105" w:type="dxa"/>
            </w:tcMar>
            <w:vAlign w:val="center"/>
          </w:tcPr>
          <w:p w14:paraId="119DF9B0" w14:textId="77777777" w:rsidR="00BE522A" w:rsidRDefault="00000000">
            <w:pPr>
              <w:pStyle w:val="ArticleTable"/>
            </w:pPr>
            <w:r>
              <w:rPr>
                <w:color w:val="232B32"/>
              </w:rPr>
              <w:t>Heteroskedastisitas (Glejser)</w:t>
            </w:r>
          </w:p>
        </w:tc>
        <w:tc>
          <w:tcPr>
            <w:tcW w:w="1529" w:type="dxa"/>
            <w:tcBorders>
              <w:bottom w:val="single" w:sz="4" w:space="0" w:color="D5DEE5"/>
            </w:tcBorders>
            <w:tcMar>
              <w:top w:w="74" w:type="dxa"/>
              <w:left w:w="105" w:type="dxa"/>
              <w:bottom w:w="74" w:type="dxa"/>
              <w:right w:w="105" w:type="dxa"/>
            </w:tcMar>
            <w:vAlign w:val="center"/>
          </w:tcPr>
          <w:p w14:paraId="74807F58" w14:textId="77777777" w:rsidR="00BE522A" w:rsidRDefault="00000000">
            <w:pPr>
              <w:pStyle w:val="ArticleTable"/>
              <w:jc w:val="center"/>
            </w:pPr>
            <w:r>
              <w:rPr>
                <w:i/>
                <w:color w:val="232B32"/>
              </w:rPr>
              <w:t>t</w:t>
            </w:r>
            <w:r>
              <w:rPr>
                <w:color w:val="232B32"/>
              </w:rPr>
              <w:t xml:space="preserve"> = −0,097</w:t>
            </w:r>
          </w:p>
        </w:tc>
        <w:tc>
          <w:tcPr>
            <w:tcW w:w="1019" w:type="dxa"/>
            <w:tcBorders>
              <w:bottom w:val="single" w:sz="4" w:space="0" w:color="D5DEE5"/>
            </w:tcBorders>
            <w:tcMar>
              <w:top w:w="74" w:type="dxa"/>
              <w:left w:w="105" w:type="dxa"/>
              <w:bottom w:w="74" w:type="dxa"/>
              <w:right w:w="105" w:type="dxa"/>
            </w:tcMar>
            <w:vAlign w:val="center"/>
          </w:tcPr>
          <w:p w14:paraId="00A24BD5" w14:textId="77777777" w:rsidR="00BE522A" w:rsidRDefault="00000000">
            <w:pPr>
              <w:pStyle w:val="ArticleTable"/>
              <w:jc w:val="center"/>
            </w:pPr>
            <w:r>
              <w:rPr>
                <w:color w:val="232B32"/>
              </w:rPr>
              <w:t>0,923</w:t>
            </w:r>
          </w:p>
        </w:tc>
        <w:tc>
          <w:tcPr>
            <w:tcW w:w="2955" w:type="dxa"/>
            <w:tcBorders>
              <w:bottom w:val="single" w:sz="4" w:space="0" w:color="D5DEE5"/>
            </w:tcBorders>
            <w:tcMar>
              <w:top w:w="74" w:type="dxa"/>
              <w:left w:w="105" w:type="dxa"/>
              <w:bottom w:w="74" w:type="dxa"/>
              <w:right w:w="105" w:type="dxa"/>
            </w:tcMar>
            <w:vAlign w:val="center"/>
          </w:tcPr>
          <w:p w14:paraId="6D43DD67" w14:textId="77777777" w:rsidR="00BE522A" w:rsidRDefault="00000000">
            <w:pPr>
              <w:pStyle w:val="ArticleTable"/>
            </w:pPr>
            <w:r>
              <w:rPr>
                <w:color w:val="232B32"/>
              </w:rPr>
              <w:t>Tidak ada heteroskedastisitas</w:t>
            </w:r>
          </w:p>
        </w:tc>
      </w:tr>
    </w:tbl>
    <w:p w14:paraId="72A6FD04" w14:textId="77777777" w:rsidR="00BE522A" w:rsidRDefault="00BE522A">
      <w:pPr>
        <w:spacing w:after="80"/>
        <w:ind w:firstLine="0"/>
      </w:pPr>
    </w:p>
    <w:p w14:paraId="0B4573C0" w14:textId="77777777" w:rsidR="00BE522A" w:rsidRDefault="00000000">
      <w:r>
        <w:t xml:space="preserve">Ketiga hasil ini menunjukkan bahwa model regresi linier sederhana sesuai untuk data yang dianalisis. Implikasinya, hasil yang tidak signifikan pada tahap berikutnya tidak dapat dikaitkan dengan pelanggaran asumsi, seperti sebaran residual yang tidak normal atau varians yang tidak homogen. Pemenuhan asumsi ini sejalan dengan prosedur analisis regresi yang lazim dipakai dalam penelitian kuantitatif pendidikan </w:t>
      </w:r>
      <w:r>
        <w:rPr>
          <w:color w:val="0000FF"/>
        </w:rPr>
        <w:t>(</w:t>
      </w:r>
      <w:hyperlink w:anchor="ref_sugiyono" w:history="1">
        <w:r>
          <w:rPr>
            <w:color w:val="0000FF"/>
          </w:rPr>
          <w:t>Sugiyono, 2017</w:t>
        </w:r>
      </w:hyperlink>
      <w:r>
        <w:rPr>
          <w:color w:val="0000FF"/>
        </w:rPr>
        <w:t>)</w:t>
      </w:r>
      <w:r>
        <w:t xml:space="preserve"> dan menambah keyakinan bahwa kesimpulan yang ditarik bersumber dari data, bukan </w:t>
      </w:r>
      <w:proofErr w:type="spellStart"/>
      <w:r>
        <w:t>dari</w:t>
      </w:r>
      <w:proofErr w:type="spellEnd"/>
      <w:r>
        <w:t xml:space="preserve"> </w:t>
      </w:r>
      <w:proofErr w:type="spellStart"/>
      <w:r>
        <w:t>kekeliruan</w:t>
      </w:r>
      <w:proofErr w:type="spellEnd"/>
      <w:r>
        <w:t xml:space="preserve"> </w:t>
      </w:r>
      <w:proofErr w:type="spellStart"/>
      <w:r>
        <w:t>teknik</w:t>
      </w:r>
      <w:proofErr w:type="spellEnd"/>
      <w:r>
        <w:t xml:space="preserve"> </w:t>
      </w:r>
      <w:proofErr w:type="spellStart"/>
      <w:r>
        <w:t>analisis</w:t>
      </w:r>
      <w:proofErr w:type="spellEnd"/>
      <w:r>
        <w:t>.</w:t>
      </w:r>
    </w:p>
    <w:p w14:paraId="458ECB10" w14:textId="77777777" w:rsidR="00E75E1B" w:rsidRDefault="00E75E1B"/>
    <w:p w14:paraId="02763271" w14:textId="77777777" w:rsidR="00BE522A" w:rsidRDefault="00000000">
      <w:pPr>
        <w:pStyle w:val="Judul2"/>
        <w:spacing w:before="0"/>
        <w:ind w:firstLine="0"/>
      </w:pPr>
      <w:r>
        <w:rPr>
          <w:i/>
          <w:sz w:val="24"/>
          <w:szCs w:val="24"/>
        </w:rPr>
        <w:t>Pengaruh Growth Mindset terhadap Academic Grit</w:t>
      </w:r>
    </w:p>
    <w:p w14:paraId="0B79DA8B" w14:textId="77777777" w:rsidR="00BE522A" w:rsidRDefault="00000000">
      <w:r>
        <w:t xml:space="preserve">Hasil regresi menunjukkan bahwa </w:t>
      </w:r>
      <w:r>
        <w:rPr>
          <w:i/>
        </w:rPr>
        <w:t>growth mindset</w:t>
      </w:r>
      <w:r>
        <w:t xml:space="preserve"> tidak berpengaruh signifikan terhadap </w:t>
      </w:r>
      <w:r>
        <w:rPr>
          <w:i/>
        </w:rPr>
        <w:t>academic grit</w:t>
      </w:r>
      <w:r>
        <w:t>. Koefisien regresi sebesar −0,083 (</w:t>
      </w:r>
      <w:r>
        <w:rPr>
          <w:i/>
        </w:rPr>
        <w:t>SE</w:t>
      </w:r>
      <w:r>
        <w:t xml:space="preserve"> = 0,103; β = −0,063; </w:t>
      </w:r>
      <w:r>
        <w:rPr>
          <w:i/>
        </w:rPr>
        <w:t>t</w:t>
      </w:r>
      <w:r>
        <w:t xml:space="preserve"> = −0,805; </w:t>
      </w:r>
      <w:r>
        <w:rPr>
          <w:i/>
        </w:rPr>
        <w:t>p</w:t>
      </w:r>
      <w:r>
        <w:t xml:space="preserve"> = 0,422), dan uji </w:t>
      </w:r>
      <w:r>
        <w:rPr>
          <w:i/>
        </w:rPr>
        <w:t>F</w:t>
      </w:r>
      <w:r>
        <w:t xml:space="preserve"> menghasilkan nilai 0,647 dengan </w:t>
      </w:r>
      <w:r>
        <w:rPr>
          <w:i/>
        </w:rPr>
        <w:t>p</w:t>
      </w:r>
      <w:r>
        <w:t xml:space="preserve"> = 0,422 (Tabel 6). Karena nilai signifikansi lebih besar daripada 0,05, Ha ditolak dan H0 diterima. Koefisien determinasi sebesar 0,004 berarti bahwa </w:t>
      </w:r>
      <w:r>
        <w:rPr>
          <w:i/>
        </w:rPr>
        <w:t>growth mindset</w:t>
      </w:r>
      <w:r>
        <w:t xml:space="preserve"> hanya dikaitkan dengan 0,4% variasi </w:t>
      </w:r>
      <w:r>
        <w:rPr>
          <w:i/>
        </w:rPr>
        <w:t>academic grit</w:t>
      </w:r>
      <w:r>
        <w:t>, sedangkan 99,6% sisanya berkaitan dengan faktor lain yang tidak diteliti. Selang kepercayaan 95% untuk koefisien regresi, yang dihitung dari koefisien dan galat bakunya, berkisar sekitar −0,29 hingga 0,12, sehingga mencakup nol.</w:t>
      </w:r>
    </w:p>
    <w:p w14:paraId="5CC1B088" w14:textId="77777777" w:rsidR="00BE522A" w:rsidRDefault="00000000">
      <w:pPr>
        <w:keepNext/>
        <w:spacing w:before="100" w:after="60"/>
        <w:ind w:firstLine="0"/>
        <w:jc w:val="center"/>
      </w:pPr>
      <w:r>
        <w:rPr>
          <w:b/>
          <w:color w:val="20303F"/>
        </w:rPr>
        <w:lastRenderedPageBreak/>
        <w:t xml:space="preserve">Tabel 6. </w:t>
      </w:r>
      <w:r>
        <w:rPr>
          <w:color w:val="20303F"/>
        </w:rPr>
        <w:t>Hasil regresi linier sederhana growth mindset terhadap academic grit</w:t>
      </w:r>
    </w:p>
    <w:tbl>
      <w:tblPr>
        <w:tblW w:w="0" w:type="auto"/>
        <w:jc w:val="center"/>
        <w:tblLayout w:type="fixed"/>
        <w:tblLook w:val="04A0" w:firstRow="1" w:lastRow="0" w:firstColumn="1" w:lastColumn="0" w:noHBand="0" w:noVBand="1"/>
      </w:tblPr>
      <w:tblGrid>
        <w:gridCol w:w="3261"/>
        <w:gridCol w:w="5809"/>
      </w:tblGrid>
      <w:tr w:rsidR="00BE522A" w14:paraId="0493072A" w14:textId="77777777">
        <w:trPr>
          <w:cantSplit/>
          <w:tblHeader/>
          <w:jc w:val="center"/>
        </w:trPr>
        <w:tc>
          <w:tcPr>
            <w:tcW w:w="3261" w:type="dxa"/>
            <w:tcBorders>
              <w:bottom w:val="single" w:sz="10" w:space="0" w:color="8CA5B8"/>
            </w:tcBorders>
            <w:tcMar>
              <w:top w:w="74" w:type="dxa"/>
              <w:left w:w="105" w:type="dxa"/>
              <w:bottom w:w="74" w:type="dxa"/>
              <w:right w:w="105" w:type="dxa"/>
            </w:tcMar>
            <w:vAlign w:val="center"/>
          </w:tcPr>
          <w:p w14:paraId="0D9E3E6C" w14:textId="77777777" w:rsidR="00BE522A" w:rsidRDefault="00000000">
            <w:pPr>
              <w:pStyle w:val="ArticleTable"/>
              <w:keepNext/>
              <w:jc w:val="center"/>
            </w:pPr>
            <w:r>
              <w:rPr>
                <w:b/>
                <w:color w:val="203140"/>
              </w:rPr>
              <w:t>Parameter</w:t>
            </w:r>
          </w:p>
        </w:tc>
        <w:tc>
          <w:tcPr>
            <w:tcW w:w="5809" w:type="dxa"/>
            <w:tcBorders>
              <w:bottom w:val="single" w:sz="10" w:space="0" w:color="8CA5B8"/>
            </w:tcBorders>
            <w:tcMar>
              <w:top w:w="74" w:type="dxa"/>
              <w:left w:w="105" w:type="dxa"/>
              <w:bottom w:w="74" w:type="dxa"/>
              <w:right w:w="105" w:type="dxa"/>
            </w:tcMar>
            <w:vAlign w:val="center"/>
          </w:tcPr>
          <w:p w14:paraId="0ACD6471" w14:textId="77777777" w:rsidR="00BE522A" w:rsidRDefault="00000000">
            <w:pPr>
              <w:pStyle w:val="ArticleTable"/>
              <w:keepNext/>
              <w:jc w:val="center"/>
            </w:pPr>
            <w:r>
              <w:rPr>
                <w:b/>
                <w:color w:val="203140"/>
              </w:rPr>
              <w:t>Nilai</w:t>
            </w:r>
          </w:p>
        </w:tc>
      </w:tr>
      <w:tr w:rsidR="00BE522A" w14:paraId="1F181141" w14:textId="77777777">
        <w:trPr>
          <w:cantSplit/>
          <w:jc w:val="center"/>
        </w:trPr>
        <w:tc>
          <w:tcPr>
            <w:tcW w:w="3261" w:type="dxa"/>
            <w:tcBorders>
              <w:bottom w:val="single" w:sz="4" w:space="0" w:color="D5DEE5"/>
            </w:tcBorders>
            <w:tcMar>
              <w:top w:w="74" w:type="dxa"/>
              <w:left w:w="105" w:type="dxa"/>
              <w:bottom w:w="74" w:type="dxa"/>
              <w:right w:w="105" w:type="dxa"/>
            </w:tcMar>
            <w:vAlign w:val="center"/>
          </w:tcPr>
          <w:p w14:paraId="17868E02" w14:textId="77777777" w:rsidR="00BE522A" w:rsidRDefault="00000000">
            <w:pPr>
              <w:pStyle w:val="ArticleTable"/>
              <w:keepNext/>
            </w:pPr>
            <w:r>
              <w:rPr>
                <w:color w:val="232B32"/>
              </w:rPr>
              <w:t>Konstanta</w:t>
            </w:r>
          </w:p>
        </w:tc>
        <w:tc>
          <w:tcPr>
            <w:tcW w:w="5809" w:type="dxa"/>
            <w:tcBorders>
              <w:bottom w:val="single" w:sz="4" w:space="0" w:color="D5DEE5"/>
            </w:tcBorders>
            <w:tcMar>
              <w:top w:w="74" w:type="dxa"/>
              <w:left w:w="105" w:type="dxa"/>
              <w:bottom w:w="74" w:type="dxa"/>
              <w:right w:w="105" w:type="dxa"/>
            </w:tcMar>
            <w:vAlign w:val="center"/>
          </w:tcPr>
          <w:p w14:paraId="20029B99" w14:textId="77777777" w:rsidR="00BE522A" w:rsidRDefault="00000000">
            <w:pPr>
              <w:pStyle w:val="ArticleTable"/>
              <w:keepNext/>
            </w:pPr>
            <w:r>
              <w:rPr>
                <w:color w:val="232B32"/>
              </w:rPr>
              <w:t>75,349 (</w:t>
            </w:r>
            <w:r>
              <w:rPr>
                <w:i/>
                <w:color w:val="232B32"/>
              </w:rPr>
              <w:t>SE</w:t>
            </w:r>
            <w:r>
              <w:rPr>
                <w:color w:val="232B32"/>
              </w:rPr>
              <w:t xml:space="preserve"> = 9,691; </w:t>
            </w:r>
            <w:r>
              <w:rPr>
                <w:i/>
                <w:color w:val="232B32"/>
              </w:rPr>
              <w:t>t</w:t>
            </w:r>
            <w:r>
              <w:rPr>
                <w:color w:val="232B32"/>
              </w:rPr>
              <w:t xml:space="preserve"> = 7,775; </w:t>
            </w:r>
            <w:r>
              <w:rPr>
                <w:i/>
                <w:color w:val="232B32"/>
              </w:rPr>
              <w:t>p</w:t>
            </w:r>
            <w:r>
              <w:rPr>
                <w:color w:val="232B32"/>
              </w:rPr>
              <w:t xml:space="preserve"> &lt; 0,001)</w:t>
            </w:r>
          </w:p>
        </w:tc>
      </w:tr>
      <w:tr w:rsidR="00BE522A" w14:paraId="6A9C6DB7" w14:textId="77777777">
        <w:trPr>
          <w:cantSplit/>
          <w:jc w:val="center"/>
        </w:trPr>
        <w:tc>
          <w:tcPr>
            <w:tcW w:w="3261" w:type="dxa"/>
            <w:tcBorders>
              <w:bottom w:val="single" w:sz="4" w:space="0" w:color="D5DEE5"/>
            </w:tcBorders>
            <w:tcMar>
              <w:top w:w="74" w:type="dxa"/>
              <w:left w:w="105" w:type="dxa"/>
              <w:bottom w:w="74" w:type="dxa"/>
              <w:right w:w="105" w:type="dxa"/>
            </w:tcMar>
            <w:vAlign w:val="center"/>
          </w:tcPr>
          <w:p w14:paraId="795AA7D4" w14:textId="77777777" w:rsidR="00BE522A" w:rsidRDefault="00000000">
            <w:pPr>
              <w:pStyle w:val="ArticleTable"/>
              <w:keepNext/>
            </w:pPr>
            <w:r>
              <w:rPr>
                <w:color w:val="232B32"/>
              </w:rPr>
              <w:t>Koefisien regresi (</w:t>
            </w:r>
            <w:r>
              <w:rPr>
                <w:i/>
                <w:color w:val="232B32"/>
              </w:rPr>
              <w:t>B</w:t>
            </w:r>
            <w:r>
              <w:rPr>
                <w:color w:val="232B32"/>
              </w:rPr>
              <w:t>)</w:t>
            </w:r>
          </w:p>
        </w:tc>
        <w:tc>
          <w:tcPr>
            <w:tcW w:w="5809" w:type="dxa"/>
            <w:tcBorders>
              <w:bottom w:val="single" w:sz="4" w:space="0" w:color="D5DEE5"/>
            </w:tcBorders>
            <w:tcMar>
              <w:top w:w="74" w:type="dxa"/>
              <w:left w:w="105" w:type="dxa"/>
              <w:bottom w:w="74" w:type="dxa"/>
              <w:right w:w="105" w:type="dxa"/>
            </w:tcMar>
            <w:vAlign w:val="center"/>
          </w:tcPr>
          <w:p w14:paraId="25E55938" w14:textId="77777777" w:rsidR="00BE522A" w:rsidRDefault="00000000">
            <w:pPr>
              <w:pStyle w:val="ArticleTable"/>
              <w:keepNext/>
            </w:pPr>
            <w:r>
              <w:rPr>
                <w:color w:val="232B32"/>
              </w:rPr>
              <w:t>−0,083 (</w:t>
            </w:r>
            <w:r>
              <w:rPr>
                <w:i/>
                <w:color w:val="232B32"/>
              </w:rPr>
              <w:t>SE</w:t>
            </w:r>
            <w:r>
              <w:rPr>
                <w:color w:val="232B32"/>
              </w:rPr>
              <w:t xml:space="preserve"> = 0,103)</w:t>
            </w:r>
          </w:p>
        </w:tc>
      </w:tr>
      <w:tr w:rsidR="00BE522A" w14:paraId="50E92E22" w14:textId="77777777">
        <w:trPr>
          <w:cantSplit/>
          <w:jc w:val="center"/>
        </w:trPr>
        <w:tc>
          <w:tcPr>
            <w:tcW w:w="3261" w:type="dxa"/>
            <w:tcBorders>
              <w:bottom w:val="single" w:sz="4" w:space="0" w:color="D5DEE5"/>
            </w:tcBorders>
            <w:tcMar>
              <w:top w:w="74" w:type="dxa"/>
              <w:left w:w="105" w:type="dxa"/>
              <w:bottom w:w="74" w:type="dxa"/>
              <w:right w:w="105" w:type="dxa"/>
            </w:tcMar>
            <w:vAlign w:val="center"/>
          </w:tcPr>
          <w:p w14:paraId="0E2A046A" w14:textId="77777777" w:rsidR="00BE522A" w:rsidRDefault="00000000">
            <w:pPr>
              <w:pStyle w:val="ArticleTable"/>
              <w:keepNext/>
            </w:pPr>
            <w:r>
              <w:rPr>
                <w:color w:val="232B32"/>
              </w:rPr>
              <w:t>Koefisien standar (β)</w:t>
            </w:r>
          </w:p>
        </w:tc>
        <w:tc>
          <w:tcPr>
            <w:tcW w:w="5809" w:type="dxa"/>
            <w:tcBorders>
              <w:bottom w:val="single" w:sz="4" w:space="0" w:color="D5DEE5"/>
            </w:tcBorders>
            <w:tcMar>
              <w:top w:w="74" w:type="dxa"/>
              <w:left w:w="105" w:type="dxa"/>
              <w:bottom w:w="74" w:type="dxa"/>
              <w:right w:w="105" w:type="dxa"/>
            </w:tcMar>
            <w:vAlign w:val="center"/>
          </w:tcPr>
          <w:p w14:paraId="7CF7FE71" w14:textId="77777777" w:rsidR="00BE522A" w:rsidRDefault="00000000">
            <w:pPr>
              <w:pStyle w:val="ArticleTable"/>
              <w:keepNext/>
            </w:pPr>
            <w:r>
              <w:rPr>
                <w:color w:val="232B32"/>
              </w:rPr>
              <w:t>−0,063</w:t>
            </w:r>
          </w:p>
        </w:tc>
      </w:tr>
      <w:tr w:rsidR="00BE522A" w14:paraId="53974A9B" w14:textId="77777777">
        <w:trPr>
          <w:cantSplit/>
          <w:jc w:val="center"/>
        </w:trPr>
        <w:tc>
          <w:tcPr>
            <w:tcW w:w="3261" w:type="dxa"/>
            <w:tcBorders>
              <w:bottom w:val="single" w:sz="4" w:space="0" w:color="D5DEE5"/>
            </w:tcBorders>
            <w:tcMar>
              <w:top w:w="74" w:type="dxa"/>
              <w:left w:w="105" w:type="dxa"/>
              <w:bottom w:w="74" w:type="dxa"/>
              <w:right w:w="105" w:type="dxa"/>
            </w:tcMar>
            <w:vAlign w:val="center"/>
          </w:tcPr>
          <w:p w14:paraId="1C9BBC93" w14:textId="77777777" w:rsidR="00BE522A" w:rsidRDefault="00000000">
            <w:pPr>
              <w:pStyle w:val="ArticleTable"/>
              <w:keepNext/>
            </w:pPr>
            <w:r>
              <w:rPr>
                <w:i/>
                <w:color w:val="232B32"/>
              </w:rPr>
              <w:t>t</w:t>
            </w:r>
          </w:p>
        </w:tc>
        <w:tc>
          <w:tcPr>
            <w:tcW w:w="5809" w:type="dxa"/>
            <w:tcBorders>
              <w:bottom w:val="single" w:sz="4" w:space="0" w:color="D5DEE5"/>
            </w:tcBorders>
            <w:tcMar>
              <w:top w:w="74" w:type="dxa"/>
              <w:left w:w="105" w:type="dxa"/>
              <w:bottom w:w="74" w:type="dxa"/>
              <w:right w:w="105" w:type="dxa"/>
            </w:tcMar>
            <w:vAlign w:val="center"/>
          </w:tcPr>
          <w:p w14:paraId="1D9E0E4C" w14:textId="77777777" w:rsidR="00BE522A" w:rsidRDefault="00000000">
            <w:pPr>
              <w:pStyle w:val="ArticleTable"/>
              <w:keepNext/>
            </w:pPr>
            <w:r>
              <w:rPr>
                <w:color w:val="232B32"/>
              </w:rPr>
              <w:t>−0,805 (</w:t>
            </w:r>
            <w:r>
              <w:rPr>
                <w:i/>
                <w:color w:val="232B32"/>
              </w:rPr>
              <w:t>p</w:t>
            </w:r>
            <w:r>
              <w:rPr>
                <w:color w:val="232B32"/>
              </w:rPr>
              <w:t xml:space="preserve"> = 0,422)</w:t>
            </w:r>
          </w:p>
        </w:tc>
      </w:tr>
      <w:tr w:rsidR="00BE522A" w14:paraId="57EFBCFE" w14:textId="77777777">
        <w:trPr>
          <w:cantSplit/>
          <w:jc w:val="center"/>
        </w:trPr>
        <w:tc>
          <w:tcPr>
            <w:tcW w:w="3261" w:type="dxa"/>
            <w:tcBorders>
              <w:bottom w:val="single" w:sz="4" w:space="0" w:color="D5DEE5"/>
            </w:tcBorders>
            <w:tcMar>
              <w:top w:w="74" w:type="dxa"/>
              <w:left w:w="105" w:type="dxa"/>
              <w:bottom w:w="74" w:type="dxa"/>
              <w:right w:w="105" w:type="dxa"/>
            </w:tcMar>
            <w:vAlign w:val="center"/>
          </w:tcPr>
          <w:p w14:paraId="6E1603B5" w14:textId="77777777" w:rsidR="00BE522A" w:rsidRDefault="00000000">
            <w:pPr>
              <w:pStyle w:val="ArticleTable"/>
              <w:keepNext/>
            </w:pPr>
            <w:r>
              <w:rPr>
                <w:i/>
                <w:color w:val="232B32"/>
              </w:rPr>
              <w:t>F</w:t>
            </w:r>
            <w:r>
              <w:rPr>
                <w:color w:val="232B32"/>
              </w:rPr>
              <w:t xml:space="preserve"> (1, 162)</w:t>
            </w:r>
          </w:p>
        </w:tc>
        <w:tc>
          <w:tcPr>
            <w:tcW w:w="5809" w:type="dxa"/>
            <w:tcBorders>
              <w:bottom w:val="single" w:sz="4" w:space="0" w:color="D5DEE5"/>
            </w:tcBorders>
            <w:tcMar>
              <w:top w:w="74" w:type="dxa"/>
              <w:left w:w="105" w:type="dxa"/>
              <w:bottom w:w="74" w:type="dxa"/>
              <w:right w:w="105" w:type="dxa"/>
            </w:tcMar>
            <w:vAlign w:val="center"/>
          </w:tcPr>
          <w:p w14:paraId="5D992A11" w14:textId="77777777" w:rsidR="00BE522A" w:rsidRDefault="00000000">
            <w:pPr>
              <w:pStyle w:val="ArticleTable"/>
              <w:keepNext/>
            </w:pPr>
            <w:r>
              <w:rPr>
                <w:color w:val="232B32"/>
              </w:rPr>
              <w:t>0,647 (</w:t>
            </w:r>
            <w:r>
              <w:rPr>
                <w:i/>
                <w:color w:val="232B32"/>
              </w:rPr>
              <w:t>p</w:t>
            </w:r>
            <w:r>
              <w:rPr>
                <w:color w:val="232B32"/>
              </w:rPr>
              <w:t xml:space="preserve"> = 0,422)</w:t>
            </w:r>
          </w:p>
        </w:tc>
      </w:tr>
      <w:tr w:rsidR="00BE522A" w14:paraId="0FE25C75" w14:textId="77777777">
        <w:trPr>
          <w:cantSplit/>
          <w:jc w:val="center"/>
        </w:trPr>
        <w:tc>
          <w:tcPr>
            <w:tcW w:w="3261" w:type="dxa"/>
            <w:tcBorders>
              <w:bottom w:val="single" w:sz="4" w:space="0" w:color="D5DEE5"/>
            </w:tcBorders>
            <w:tcMar>
              <w:top w:w="74" w:type="dxa"/>
              <w:left w:w="105" w:type="dxa"/>
              <w:bottom w:w="74" w:type="dxa"/>
              <w:right w:w="105" w:type="dxa"/>
            </w:tcMar>
            <w:vAlign w:val="center"/>
          </w:tcPr>
          <w:p w14:paraId="23324EEA" w14:textId="77777777" w:rsidR="00BE522A" w:rsidRDefault="00000000">
            <w:pPr>
              <w:pStyle w:val="ArticleTable"/>
              <w:keepNext/>
            </w:pPr>
            <w:r>
              <w:rPr>
                <w:i/>
                <w:color w:val="232B32"/>
              </w:rPr>
              <w:t>R</w:t>
            </w:r>
          </w:p>
        </w:tc>
        <w:tc>
          <w:tcPr>
            <w:tcW w:w="5809" w:type="dxa"/>
            <w:tcBorders>
              <w:bottom w:val="single" w:sz="4" w:space="0" w:color="D5DEE5"/>
            </w:tcBorders>
            <w:tcMar>
              <w:top w:w="74" w:type="dxa"/>
              <w:left w:w="105" w:type="dxa"/>
              <w:bottom w:w="74" w:type="dxa"/>
              <w:right w:w="105" w:type="dxa"/>
            </w:tcMar>
            <w:vAlign w:val="center"/>
          </w:tcPr>
          <w:p w14:paraId="5C0A3D66" w14:textId="77777777" w:rsidR="00BE522A" w:rsidRDefault="00000000">
            <w:pPr>
              <w:pStyle w:val="ArticleTable"/>
              <w:keepNext/>
            </w:pPr>
            <w:r>
              <w:rPr>
                <w:color w:val="232B32"/>
              </w:rPr>
              <w:t>0,063</w:t>
            </w:r>
          </w:p>
        </w:tc>
      </w:tr>
      <w:tr w:rsidR="00BE522A" w14:paraId="1383DBE3" w14:textId="77777777">
        <w:trPr>
          <w:cantSplit/>
          <w:jc w:val="center"/>
        </w:trPr>
        <w:tc>
          <w:tcPr>
            <w:tcW w:w="3261" w:type="dxa"/>
            <w:tcBorders>
              <w:bottom w:val="single" w:sz="4" w:space="0" w:color="D5DEE5"/>
            </w:tcBorders>
            <w:tcMar>
              <w:top w:w="74" w:type="dxa"/>
              <w:left w:w="105" w:type="dxa"/>
              <w:bottom w:w="74" w:type="dxa"/>
              <w:right w:w="105" w:type="dxa"/>
            </w:tcMar>
            <w:vAlign w:val="center"/>
          </w:tcPr>
          <w:p w14:paraId="7A01A547" w14:textId="77777777" w:rsidR="00BE522A" w:rsidRDefault="00000000">
            <w:pPr>
              <w:pStyle w:val="ArticleTable"/>
              <w:keepNext/>
            </w:pPr>
            <w:r>
              <w:rPr>
                <w:i/>
                <w:color w:val="232B32"/>
              </w:rPr>
              <w:t>R</w:t>
            </w:r>
            <w:r>
              <w:rPr>
                <w:color w:val="232B32"/>
              </w:rPr>
              <w:t>²</w:t>
            </w:r>
          </w:p>
        </w:tc>
        <w:tc>
          <w:tcPr>
            <w:tcW w:w="5809" w:type="dxa"/>
            <w:tcBorders>
              <w:bottom w:val="single" w:sz="4" w:space="0" w:color="D5DEE5"/>
            </w:tcBorders>
            <w:tcMar>
              <w:top w:w="74" w:type="dxa"/>
              <w:left w:w="105" w:type="dxa"/>
              <w:bottom w:w="74" w:type="dxa"/>
              <w:right w:w="105" w:type="dxa"/>
            </w:tcMar>
            <w:vAlign w:val="center"/>
          </w:tcPr>
          <w:p w14:paraId="2C2E9E83" w14:textId="77777777" w:rsidR="00BE522A" w:rsidRDefault="00000000">
            <w:pPr>
              <w:pStyle w:val="ArticleTable"/>
              <w:keepNext/>
            </w:pPr>
            <w:r>
              <w:rPr>
                <w:color w:val="232B32"/>
              </w:rPr>
              <w:t>0,004 (</w:t>
            </w:r>
            <w:r>
              <w:rPr>
                <w:i/>
                <w:color w:val="232B32"/>
              </w:rPr>
              <w:t>R</w:t>
            </w:r>
            <w:r>
              <w:rPr>
                <w:color w:val="232B32"/>
              </w:rPr>
              <w:t>² terkoreksi = −0,002)</w:t>
            </w:r>
          </w:p>
        </w:tc>
      </w:tr>
      <w:tr w:rsidR="00BE522A" w14:paraId="417963BE" w14:textId="77777777">
        <w:trPr>
          <w:cantSplit/>
          <w:jc w:val="center"/>
        </w:trPr>
        <w:tc>
          <w:tcPr>
            <w:tcW w:w="3261" w:type="dxa"/>
            <w:tcBorders>
              <w:bottom w:val="single" w:sz="4" w:space="0" w:color="D5DEE5"/>
            </w:tcBorders>
            <w:tcMar>
              <w:top w:w="74" w:type="dxa"/>
              <w:left w:w="105" w:type="dxa"/>
              <w:bottom w:w="74" w:type="dxa"/>
              <w:right w:w="105" w:type="dxa"/>
            </w:tcMar>
            <w:vAlign w:val="center"/>
          </w:tcPr>
          <w:p w14:paraId="44975434" w14:textId="77777777" w:rsidR="00BE522A" w:rsidRDefault="00000000">
            <w:pPr>
              <w:pStyle w:val="ArticleTable"/>
            </w:pPr>
            <w:r>
              <w:rPr>
                <w:color w:val="232B32"/>
              </w:rPr>
              <w:t>Galat baku estimasi</w:t>
            </w:r>
          </w:p>
        </w:tc>
        <w:tc>
          <w:tcPr>
            <w:tcW w:w="5809" w:type="dxa"/>
            <w:tcBorders>
              <w:bottom w:val="single" w:sz="4" w:space="0" w:color="D5DEE5"/>
            </w:tcBorders>
            <w:tcMar>
              <w:top w:w="74" w:type="dxa"/>
              <w:left w:w="105" w:type="dxa"/>
              <w:bottom w:w="74" w:type="dxa"/>
              <w:right w:w="105" w:type="dxa"/>
            </w:tcMar>
            <w:vAlign w:val="center"/>
          </w:tcPr>
          <w:p w14:paraId="7C862654" w14:textId="77777777" w:rsidR="00BE522A" w:rsidRDefault="00000000">
            <w:pPr>
              <w:pStyle w:val="ArticleTable"/>
            </w:pPr>
            <w:r>
              <w:rPr>
                <w:color w:val="232B32"/>
              </w:rPr>
              <w:t>6,312</w:t>
            </w:r>
          </w:p>
        </w:tc>
      </w:tr>
    </w:tbl>
    <w:p w14:paraId="68F45A32" w14:textId="77777777" w:rsidR="00BE522A" w:rsidRDefault="00000000">
      <w:pPr>
        <w:spacing w:before="20" w:after="80"/>
        <w:ind w:firstLine="0"/>
        <w:jc w:val="left"/>
      </w:pPr>
      <w:r>
        <w:rPr>
          <w:i/>
          <w:color w:val="56626E"/>
          <w:sz w:val="16"/>
          <w:szCs w:val="16"/>
        </w:rPr>
        <w:t>Catatan: Variabel terikat adalah academic grit; prediktor adalah growth mindset; SE = galat baku.</w:t>
      </w:r>
    </w:p>
    <w:p w14:paraId="013518C5" w14:textId="77777777" w:rsidR="00BE522A" w:rsidRDefault="00000000">
      <w:r>
        <w:t xml:space="preserve">Hasil ini perlu ditafsirkan secara cermat. Tidak ditemukannya pengaruh signifikan berarti bahwa data tidak memberikan bukti adanya hubungan linier antara kedua variabel pada sampel ini. Hal itu tidak otomatis berarti bahwa </w:t>
      </w:r>
      <w:r>
        <w:rPr>
          <w:i/>
        </w:rPr>
        <w:t>growth mindset</w:t>
      </w:r>
      <w:r>
        <w:t xml:space="preserve"> tidak relevan bagi </w:t>
      </w:r>
      <w:r>
        <w:rPr>
          <w:i/>
        </w:rPr>
        <w:t>academic grit</w:t>
      </w:r>
      <w:r>
        <w:t>. Dengan 164 responden, penelitian ini cukup sensitif terhadap efek yang sedang, tetapi tidak dapat menyingkirkan efek yang sangat kecil. Arah koefisien yang negatif juga tidak boleh ditafsirkan secara substantif karena tidak signifikan.</w:t>
      </w:r>
    </w:p>
    <w:p w14:paraId="6D03E08E" w14:textId="77777777" w:rsidR="00BE522A" w:rsidRDefault="00000000">
      <w:r>
        <w:t>Ukuran efek yang diperoleh juga sangat kecil (</w:t>
      </w:r>
      <w:r>
        <w:rPr>
          <w:i/>
        </w:rPr>
        <w:t>R</w:t>
      </w:r>
      <w:r>
        <w:t xml:space="preserve"> = 0,063). Nilai ini jauh lebih rendah daripada hubungan sedang yang dilaporkan antara </w:t>
      </w:r>
      <w:r>
        <w:rPr>
          <w:i/>
        </w:rPr>
        <w:t>grit</w:t>
      </w:r>
      <w:r>
        <w:t xml:space="preserve"> dan prestasi akademik </w:t>
      </w:r>
      <w:r>
        <w:rPr>
          <w:color w:val="0000FF"/>
        </w:rPr>
        <w:t>(</w:t>
      </w:r>
      <w:hyperlink w:anchor="ref_lam" w:history="1">
        <w:r>
          <w:rPr>
            <w:color w:val="0000FF"/>
          </w:rPr>
          <w:t>Lam &amp; Zhou, 2022</w:t>
        </w:r>
      </w:hyperlink>
      <w:r>
        <w:rPr>
          <w:color w:val="0000FF"/>
        </w:rPr>
        <w:t>)</w:t>
      </w:r>
      <w:r>
        <w:t xml:space="preserve">, dan berbeda dari temuan meta-analisis bahwa teori inkremental memprediksi strategi berorientasi penguasaan dan penetapan tujuan belajar </w:t>
      </w:r>
      <w:r>
        <w:rPr>
          <w:color w:val="0000FF"/>
        </w:rPr>
        <w:t>(</w:t>
      </w:r>
      <w:hyperlink w:anchor="ref_burnette" w:history="1">
        <w:r>
          <w:rPr>
            <w:color w:val="0000FF"/>
          </w:rPr>
          <w:t>Burnette et al., 2013</w:t>
        </w:r>
      </w:hyperlink>
      <w:r>
        <w:rPr>
          <w:color w:val="0000FF"/>
        </w:rPr>
        <w:t>)</w:t>
      </w:r>
      <w:r>
        <w:t xml:space="preserve">. Perbedaan ini mungkin muncul karena </w:t>
      </w:r>
      <w:r>
        <w:rPr>
          <w:i/>
        </w:rPr>
        <w:t>academic grit</w:t>
      </w:r>
      <w:r>
        <w:t xml:space="preserve"> pada penelitian ini diukur sebagai skor total yang bersifat umum, sedangkan keterkaitan </w:t>
      </w:r>
      <w:r>
        <w:rPr>
          <w:i/>
        </w:rPr>
        <w:t>mindset</w:t>
      </w:r>
      <w:r>
        <w:t xml:space="preserve"> dengan regulasi diri umumnya diamati pada strategi dan tujuan belajar yang lebih spesifik. Dugaan tersebut perlu diuji pada penelitian selanjutnya dengan pengukuran yang lebih rinci.</w:t>
      </w:r>
    </w:p>
    <w:p w14:paraId="48CAA11F" w14:textId="77777777" w:rsidR="00BE522A" w:rsidRDefault="00000000">
      <w:r>
        <w:t xml:space="preserve">Temuan ini bertentangan dengan beberapa penelitian yang melaporkan pengaruh atau hubungan positif. Pada mahasiswa yang bekerja, </w:t>
      </w:r>
      <w:r>
        <w:rPr>
          <w:i/>
        </w:rPr>
        <w:t>growth mindset</w:t>
      </w:r>
      <w:r>
        <w:t xml:space="preserve"> menyumbang 51,6% varians </w:t>
      </w:r>
      <w:r>
        <w:rPr>
          <w:i/>
        </w:rPr>
        <w:t>grit</w:t>
      </w:r>
      <w:r>
        <w:t xml:space="preserve"> akademik </w:t>
      </w:r>
      <w:r>
        <w:rPr>
          <w:color w:val="0000FF"/>
        </w:rPr>
        <w:t>(</w:t>
      </w:r>
      <w:hyperlink w:anchor="ref_mayshita" w:history="1">
        <w:r>
          <w:rPr>
            <w:color w:val="0000FF"/>
          </w:rPr>
          <w:t>Mayshita et al., 2023</w:t>
        </w:r>
      </w:hyperlink>
      <w:r>
        <w:rPr>
          <w:color w:val="0000FF"/>
        </w:rPr>
        <w:t>)</w:t>
      </w:r>
      <w:r>
        <w:t xml:space="preserve">. Hubungan positif juga dilaporkan pada mahasiswa yang aktif berorganisasi </w:t>
      </w:r>
      <w:r>
        <w:rPr>
          <w:color w:val="0000FF"/>
        </w:rPr>
        <w:t>(</w:t>
      </w:r>
      <w:hyperlink w:anchor="ref_masuda" w:history="1">
        <w:r>
          <w:rPr>
            <w:color w:val="0000FF"/>
          </w:rPr>
          <w:t>Mas’uda &amp; Amawidyati, 2023</w:t>
        </w:r>
      </w:hyperlink>
      <w:r>
        <w:rPr>
          <w:color w:val="0000FF"/>
        </w:rPr>
        <w:t>)</w:t>
      </w:r>
      <w:r>
        <w:t xml:space="preserve"> dan mahasiswa psikologi </w:t>
      </w:r>
      <w:r>
        <w:rPr>
          <w:color w:val="0000FF"/>
        </w:rPr>
        <w:t>(</w:t>
      </w:r>
      <w:hyperlink w:anchor="ref_chris" w:history="1">
        <w:r>
          <w:rPr>
            <w:color w:val="0000FF"/>
          </w:rPr>
          <w:t>Chrisantiana &amp; Sembiring, 2017</w:t>
        </w:r>
      </w:hyperlink>
      <w:r>
        <w:rPr>
          <w:color w:val="0000FF"/>
        </w:rPr>
        <w:t>)</w:t>
      </w:r>
      <w:r>
        <w:t xml:space="preserve">. Perbedaan hasil dapat berkaitan dengan karakteristik subjek. Penelitian-penelitian tersebut dilakukan pada mahasiswa, sedangkan responden penelitian ini adalah siswa kelas X SMK yang berada pada tahap perkembangan remaja. Perbedaan tahap ini dapat memengaruhi seberapa jauh keyakinan tentang kemampuan tercermin dalam ketekunan belajar, meskipun dugaan ini belum diuji dalam penelitian ini. Perkembangan </w:t>
      </w:r>
      <w:r>
        <w:rPr>
          <w:i/>
        </w:rPr>
        <w:t>grit</w:t>
      </w:r>
      <w:r>
        <w:t xml:space="preserve"> dan </w:t>
      </w:r>
      <w:r>
        <w:rPr>
          <w:i/>
        </w:rPr>
        <w:t>growth mindset</w:t>
      </w:r>
      <w:r>
        <w:t xml:space="preserve"> selama masa remaja sendiri merupakan proses yang dinamis </w:t>
      </w:r>
      <w:r>
        <w:rPr>
          <w:color w:val="0000FF"/>
        </w:rPr>
        <w:t>(</w:t>
      </w:r>
      <w:hyperlink w:anchor="ref_park" w:history="1">
        <w:r>
          <w:rPr>
            <w:color w:val="0000FF"/>
          </w:rPr>
          <w:t>Park et al., 2020</w:t>
        </w:r>
      </w:hyperlink>
      <w:r>
        <w:rPr>
          <w:color w:val="0000FF"/>
        </w:rPr>
        <w:t>)</w:t>
      </w:r>
      <w:r>
        <w:t>.</w:t>
      </w:r>
    </w:p>
    <w:p w14:paraId="2093F91B" w14:textId="77777777" w:rsidR="00BE522A" w:rsidRDefault="00000000">
      <w:r>
        <w:t xml:space="preserve">Di sisi lain, temuan ini konsisten dengan penelitian yang tidak menemukan hubungan antara kedua variabel. </w:t>
      </w:r>
      <w:r>
        <w:rPr>
          <w:i/>
        </w:rPr>
        <w:t>Growth mindset</w:t>
      </w:r>
      <w:r>
        <w:t xml:space="preserve"> tidak berpengaruh terhadap </w:t>
      </w:r>
      <w:r>
        <w:rPr>
          <w:i/>
        </w:rPr>
        <w:t>grit</w:t>
      </w:r>
      <w:r>
        <w:t xml:space="preserve"> pada pimpinan cabang Muhammadiyah </w:t>
      </w:r>
      <w:r>
        <w:rPr>
          <w:color w:val="0000FF"/>
        </w:rPr>
        <w:t>(</w:t>
      </w:r>
      <w:hyperlink w:anchor="ref_wahidah" w:history="1">
        <w:r>
          <w:rPr>
            <w:color w:val="0000FF"/>
          </w:rPr>
          <w:t>Wahidah et al., 2023</w:t>
        </w:r>
      </w:hyperlink>
      <w:r>
        <w:rPr>
          <w:color w:val="0000FF"/>
        </w:rPr>
        <w:t>)</w:t>
      </w:r>
      <w:r>
        <w:t xml:space="preserve"> dan tidak berkorelasi dengan </w:t>
      </w:r>
      <w:r>
        <w:rPr>
          <w:i/>
        </w:rPr>
        <w:t>grit</w:t>
      </w:r>
      <w:r>
        <w:t xml:space="preserve"> pada musisi </w:t>
      </w:r>
      <w:r>
        <w:rPr>
          <w:color w:val="0000FF"/>
        </w:rPr>
        <w:t>(</w:t>
      </w:r>
      <w:hyperlink w:anchor="ref_tan" w:history="1">
        <w:r>
          <w:rPr>
            <w:color w:val="0000FF"/>
          </w:rPr>
          <w:t>Tan et al., 2021</w:t>
        </w:r>
      </w:hyperlink>
      <w:r>
        <w:rPr>
          <w:color w:val="0000FF"/>
        </w:rPr>
        <w:t>)</w:t>
      </w:r>
      <w:r>
        <w:t xml:space="preserve">. Pada siswa di Finlandia, </w:t>
      </w:r>
      <w:r>
        <w:rPr>
          <w:i/>
        </w:rPr>
        <w:t>growth mindset</w:t>
      </w:r>
      <w:r>
        <w:t xml:space="preserve"> di kelas enam tidak memprediksi </w:t>
      </w:r>
      <w:r>
        <w:rPr>
          <w:i/>
        </w:rPr>
        <w:t>grit</w:t>
      </w:r>
      <w:r>
        <w:t xml:space="preserve">, sedangkan komitmen terhadap tujuan memprediksinya </w:t>
      </w:r>
      <w:r>
        <w:rPr>
          <w:color w:val="0000FF"/>
        </w:rPr>
        <w:t>(</w:t>
      </w:r>
      <w:hyperlink w:anchor="ref_tang" w:history="1">
        <w:r>
          <w:rPr>
            <w:color w:val="0000FF"/>
          </w:rPr>
          <w:t>Tang et al., 2019</w:t>
        </w:r>
      </w:hyperlink>
      <w:r>
        <w:rPr>
          <w:color w:val="0000FF"/>
        </w:rPr>
        <w:t>)</w:t>
      </w:r>
      <w:r>
        <w:t xml:space="preserve">. Pola yang beragam ini sejalan dengan bukti yang lebih luas bahwa kekuatan efek </w:t>
      </w:r>
      <w:r>
        <w:rPr>
          <w:i/>
        </w:rPr>
        <w:t>mindset</w:t>
      </w:r>
      <w:r>
        <w:t xml:space="preserve"> terhadap capaian akademik tergolong lemah secara keseluruhan </w:t>
      </w:r>
      <w:r>
        <w:rPr>
          <w:color w:val="0000FF"/>
        </w:rPr>
        <w:t>(</w:t>
      </w:r>
      <w:hyperlink w:anchor="ref_sisk" w:history="1">
        <w:r>
          <w:rPr>
            <w:color w:val="0000FF"/>
          </w:rPr>
          <w:t>Sisk et al., 2018</w:t>
        </w:r>
      </w:hyperlink>
      <w:r>
        <w:rPr>
          <w:color w:val="0000FF"/>
        </w:rPr>
        <w:t>)</w:t>
      </w:r>
      <w:r>
        <w:t xml:space="preserve"> dan bergantung pada konteks sekolah serta karakteristik siswa </w:t>
      </w:r>
      <w:r>
        <w:rPr>
          <w:color w:val="0000FF"/>
        </w:rPr>
        <w:t>(</w:t>
      </w:r>
      <w:hyperlink w:anchor="ref_yeager2019" w:history="1">
        <w:r>
          <w:rPr>
            <w:color w:val="0000FF"/>
          </w:rPr>
          <w:t>Yeager et al., 2019</w:t>
        </w:r>
      </w:hyperlink>
      <w:r>
        <w:rPr>
          <w:color w:val="0000FF"/>
        </w:rPr>
        <w:t>)</w:t>
      </w:r>
      <w:r>
        <w:t xml:space="preserve">. Dengan demikian, hasil penelitian ini menambah bukti </w:t>
      </w:r>
      <w:r>
        <w:lastRenderedPageBreak/>
        <w:t xml:space="preserve">dari konteks SMK di Indonesia bahwa keterkaitan </w:t>
      </w:r>
      <w:r>
        <w:rPr>
          <w:i/>
        </w:rPr>
        <w:t>growth mindset</w:t>
      </w:r>
      <w:r>
        <w:t xml:space="preserve"> dengan </w:t>
      </w:r>
      <w:r>
        <w:rPr>
          <w:i/>
        </w:rPr>
        <w:t>academic grit</w:t>
      </w:r>
      <w:r>
        <w:t xml:space="preserve"> tidak dapat diasumsikan </w:t>
      </w:r>
      <w:proofErr w:type="spellStart"/>
      <w:r>
        <w:t>berlaku</w:t>
      </w:r>
      <w:proofErr w:type="spellEnd"/>
      <w:r>
        <w:t xml:space="preserve"> di </w:t>
      </w:r>
      <w:proofErr w:type="spellStart"/>
      <w:r>
        <w:t>semua</w:t>
      </w:r>
      <w:proofErr w:type="spellEnd"/>
      <w:r>
        <w:t xml:space="preserve"> </w:t>
      </w:r>
      <w:proofErr w:type="spellStart"/>
      <w:r>
        <w:t>kelompok</w:t>
      </w:r>
      <w:proofErr w:type="spellEnd"/>
      <w:r>
        <w:t>.</w:t>
      </w:r>
    </w:p>
    <w:p w14:paraId="02F4753D" w14:textId="77777777" w:rsidR="00E75E1B" w:rsidRDefault="00E75E1B"/>
    <w:p w14:paraId="67C8484A" w14:textId="77777777" w:rsidR="00BE522A" w:rsidRDefault="00000000">
      <w:pPr>
        <w:pStyle w:val="Judul2"/>
        <w:spacing w:before="0"/>
        <w:ind w:firstLine="0"/>
      </w:pPr>
      <w:r>
        <w:rPr>
          <w:i/>
          <w:sz w:val="24"/>
          <w:szCs w:val="24"/>
        </w:rPr>
        <w:t>Penjelasan Alternatif dan Implikasi bagi Bimbingan dan Konseling</w:t>
      </w:r>
    </w:p>
    <w:p w14:paraId="098A23AA" w14:textId="77777777" w:rsidR="00BE522A" w:rsidRDefault="00000000">
      <w:r>
        <w:t xml:space="preserve">Beberapa penjelasan dapat dikemukakan, dan semuanya bersifat dugaan yang memerlukan pengujian lanjutan. Pertama, </w:t>
      </w:r>
      <w:r>
        <w:rPr>
          <w:i/>
        </w:rPr>
        <w:t>academic grit</w:t>
      </w:r>
      <w:r>
        <w:t xml:space="preserve"> terdiri atas ketekunan usaha dan konsistensi minat. Siswa dapat meyakini bahwa kemampuan dapat berkembang tetapi belum konsisten mempertahankan minat dan fokus pada tujuan jangka panjang, sehingga skor total </w:t>
      </w:r>
      <w:r>
        <w:rPr>
          <w:i/>
        </w:rPr>
        <w:t>grit</w:t>
      </w:r>
      <w:r>
        <w:t xml:space="preserve"> tidak bergerak bersama </w:t>
      </w:r>
      <w:r>
        <w:rPr>
          <w:i/>
        </w:rPr>
        <w:t>growth mindset</w:t>
      </w:r>
      <w:r>
        <w:t xml:space="preserve">. Pembedaan komponen ini juga penting dalam kajian yang menelaah </w:t>
      </w:r>
      <w:r>
        <w:rPr>
          <w:i/>
        </w:rPr>
        <w:t>mindset</w:t>
      </w:r>
      <w:r>
        <w:t xml:space="preserve"> dan </w:t>
      </w:r>
      <w:r>
        <w:rPr>
          <w:i/>
        </w:rPr>
        <w:t>grit</w:t>
      </w:r>
      <w:r>
        <w:t xml:space="preserve"> secara bersamaan </w:t>
      </w:r>
      <w:r>
        <w:rPr>
          <w:color w:val="0000FF"/>
        </w:rPr>
        <w:t>(</w:t>
      </w:r>
      <w:hyperlink w:anchor="ref_martinez" w:history="1">
        <w:r>
          <w:rPr>
            <w:color w:val="0000FF"/>
          </w:rPr>
          <w:t>Martinez et al., 2022</w:t>
        </w:r>
      </w:hyperlink>
      <w:r>
        <w:rPr>
          <w:color w:val="0000FF"/>
        </w:rPr>
        <w:t>)</w:t>
      </w:r>
      <w:r>
        <w:t>. Penelitian ini hanya menganalisis skor total, sehingga kemungkinan hubungan pada tingkat aspek belum dapat diperiksa.</w:t>
      </w:r>
    </w:p>
    <w:p w14:paraId="1386F000" w14:textId="77777777" w:rsidR="00BE522A" w:rsidRDefault="00000000">
      <w:r>
        <w:t xml:space="preserve">Kedua, keyakinan tentang kemampuan belum tentu diwujudkan dalam perilaku belajar. Siswa dapat meyakini bahwa usaha berguna, tetapi dukungan lingkungan dan kebiasaan belajar menentukan apakah keyakinan itu menjadi usaha yang bertahan. Ketiga, remaja masih membentuk identitas dan minat, sehingga tujuan jangka panjang yang menjadi inti </w:t>
      </w:r>
      <w:r>
        <w:rPr>
          <w:i/>
        </w:rPr>
        <w:t>grit</w:t>
      </w:r>
      <w:r>
        <w:t xml:space="preserve"> belum stabil. Alasan ini juga dikemukakan sebagai penjelasan bagi tidak adanya prediksi </w:t>
      </w:r>
      <w:r>
        <w:rPr>
          <w:i/>
        </w:rPr>
        <w:t>mindset</w:t>
      </w:r>
      <w:r>
        <w:t xml:space="preserve"> terhadap </w:t>
      </w:r>
      <w:r>
        <w:rPr>
          <w:i/>
        </w:rPr>
        <w:t>grit</w:t>
      </w:r>
      <w:r>
        <w:t xml:space="preserve"> pada remaja </w:t>
      </w:r>
      <w:r>
        <w:rPr>
          <w:color w:val="0000FF"/>
        </w:rPr>
        <w:t>(</w:t>
      </w:r>
      <w:hyperlink w:anchor="ref_tang" w:history="1">
        <w:r>
          <w:rPr>
            <w:color w:val="0000FF"/>
          </w:rPr>
          <w:t>Tang et al., 2019</w:t>
        </w:r>
      </w:hyperlink>
      <w:r>
        <w:rPr>
          <w:color w:val="0000FF"/>
        </w:rPr>
        <w:t>)</w:t>
      </w:r>
      <w:r>
        <w:t xml:space="preserve">. Keempat, determinan </w:t>
      </w:r>
      <w:r>
        <w:rPr>
          <w:i/>
        </w:rPr>
        <w:t>grit</w:t>
      </w:r>
      <w:r>
        <w:t xml:space="preserve"> tidak terbatas pada </w:t>
      </w:r>
      <w:r>
        <w:rPr>
          <w:i/>
        </w:rPr>
        <w:t>mindset</w:t>
      </w:r>
      <w:r>
        <w:t xml:space="preserve">. Minat, latihan, tujuan, dan harapan, serta pola asuh, lingkungan sosial, dan budaya, turut membentuk </w:t>
      </w:r>
      <w:r>
        <w:rPr>
          <w:i/>
        </w:rPr>
        <w:t>grit</w:t>
      </w:r>
      <w:r>
        <w:t xml:space="preserve"> </w:t>
      </w:r>
      <w:r>
        <w:rPr>
          <w:color w:val="0000FF"/>
        </w:rPr>
        <w:t>(</w:t>
      </w:r>
      <w:hyperlink w:anchor="ref_duck2016" w:history="1">
        <w:r>
          <w:rPr>
            <w:color w:val="0000FF"/>
          </w:rPr>
          <w:t>Duckworth, 2016</w:t>
        </w:r>
      </w:hyperlink>
      <w:r>
        <w:rPr>
          <w:color w:val="0000FF"/>
        </w:rPr>
        <w:t>)</w:t>
      </w:r>
      <w:r>
        <w:t xml:space="preserve">. Kelima, peran </w:t>
      </w:r>
      <w:r>
        <w:rPr>
          <w:i/>
        </w:rPr>
        <w:t>mindset</w:t>
      </w:r>
      <w:r>
        <w:t xml:space="preserve"> mungkin tidak langsung. </w:t>
      </w:r>
      <w:r>
        <w:rPr>
          <w:i/>
        </w:rPr>
        <w:t>Mindset</w:t>
      </w:r>
      <w:r>
        <w:t xml:space="preserve"> diketahui berperan sebagai moderator dalam hubungan antara pola asuh berbasis kekuatan dan kesejahteraan subjektif remaja </w:t>
      </w:r>
      <w:r>
        <w:rPr>
          <w:color w:val="0000FF"/>
        </w:rPr>
        <w:t>(</w:t>
      </w:r>
      <w:hyperlink w:anchor="ref_jach" w:history="1">
        <w:r>
          <w:rPr>
            <w:color w:val="0000FF"/>
          </w:rPr>
          <w:t>Jach et al., 2018</w:t>
        </w:r>
      </w:hyperlink>
      <w:r>
        <w:rPr>
          <w:color w:val="0000FF"/>
        </w:rPr>
        <w:t>)</w:t>
      </w:r>
      <w:r>
        <w:t xml:space="preserve">. Penelitian selanjutnya dapat menguji apakah </w:t>
      </w:r>
      <w:r>
        <w:rPr>
          <w:i/>
        </w:rPr>
        <w:t>growth mindset</w:t>
      </w:r>
      <w:r>
        <w:t xml:space="preserve"> memoderasi atau memediasi hubungan antara faktor lain dan </w:t>
      </w:r>
      <w:r>
        <w:rPr>
          <w:i/>
        </w:rPr>
        <w:t>academic grit</w:t>
      </w:r>
      <w:r>
        <w:t>.</w:t>
      </w:r>
    </w:p>
    <w:p w14:paraId="3AB1EF2A" w14:textId="77777777" w:rsidR="00BE522A" w:rsidRDefault="00000000">
      <w:r>
        <w:t xml:space="preserve">Bagi layanan bimbingan dan konseling, hasil ini menyiratkan bahwa upaya meningkatkan </w:t>
      </w:r>
      <w:r>
        <w:rPr>
          <w:i/>
        </w:rPr>
        <w:t>academic grit</w:t>
      </w:r>
      <w:r>
        <w:t xml:space="preserve"> tidak cukup bertumpu pada penguatan </w:t>
      </w:r>
      <w:r>
        <w:rPr>
          <w:i/>
        </w:rPr>
        <w:t>growth mindset</w:t>
      </w:r>
      <w:r>
        <w:t xml:space="preserve"> saja. Model pelatihan </w:t>
      </w:r>
      <w:r>
        <w:rPr>
          <w:i/>
        </w:rPr>
        <w:t>growth mindset</w:t>
      </w:r>
      <w:r>
        <w:t xml:space="preserve"> yang dikembangkan untuk meningkatkan </w:t>
      </w:r>
      <w:r>
        <w:rPr>
          <w:i/>
        </w:rPr>
        <w:t>grit</w:t>
      </w:r>
      <w:r>
        <w:t xml:space="preserve"> </w:t>
      </w:r>
      <w:r>
        <w:rPr>
          <w:color w:val="0000FF"/>
        </w:rPr>
        <w:t>(</w:t>
      </w:r>
      <w:hyperlink w:anchor="ref_fitri" w:history="1">
        <w:r>
          <w:rPr>
            <w:color w:val="0000FF"/>
          </w:rPr>
          <w:t>Fitri et al., 2022</w:t>
        </w:r>
      </w:hyperlink>
      <w:r>
        <w:rPr>
          <w:color w:val="0000FF"/>
        </w:rPr>
        <w:t>)</w:t>
      </w:r>
      <w:r>
        <w:t xml:space="preserve"> tetap dapat dipakai, tetapi efeknya sebaiknya dievaluasi secara empiris pada siswa SMK dan dipadukan dengan layanan yang menyasar tekad, ketangguhan, dan fokus belajar secara langsung, misalnya bimbingan kelompok dan konseling individu. Kolaborasi dengan guru mata pelajaran dan orang tua juga penting untuk membangun lingkungan belajar yang mendukung daya juang siswa. Secara teoretis, temuan ini mendorong pandangan bahwa hubungan </w:t>
      </w:r>
      <w:r>
        <w:rPr>
          <w:i/>
        </w:rPr>
        <w:t>growth mindset</w:t>
      </w:r>
      <w:r>
        <w:t xml:space="preserve"> dengan </w:t>
      </w:r>
      <w:r>
        <w:rPr>
          <w:i/>
        </w:rPr>
        <w:t>academic grit</w:t>
      </w:r>
      <w:r>
        <w:t xml:space="preserve"> bersifat kontekstual, bukan hubungan yang berlaku umum.</w:t>
      </w:r>
    </w:p>
    <w:p w14:paraId="5730FCD1" w14:textId="77777777" w:rsidR="00BE522A" w:rsidRDefault="00000000">
      <w:r>
        <w:t xml:space="preserve">Beberapa keterbatasan perlu dicatat. Penelitian dilakukan pada satu sekolah sehingga generalisasi terbatas. Pemilihan kelas mempertimbangkan ketersediaan jadwal, sehingga keterwakilan acak tidak sepenuhnya terjamin. Data bersumber dari laporan diri dengan instrumen yang disusun sendiri oleh peneliti, dan desain </w:t>
      </w:r>
      <w:r>
        <w:rPr>
          <w:i/>
        </w:rPr>
        <w:t>ex post facto</w:t>
      </w:r>
      <w:r>
        <w:t xml:space="preserve"> tidak memungkinkan kesimpulan kausal. Penelitian lanjutan sebaiknya mengombinasikan pengukuran per aspek, sampel dari beberapa sekolah, dan desain longitudinal atau intervensi.</w:t>
      </w:r>
    </w:p>
    <w:p w14:paraId="0D5FC09C" w14:textId="77777777" w:rsidR="00BE522A" w:rsidRDefault="00000000">
      <w:pPr>
        <w:pStyle w:val="Judul1"/>
        <w:ind w:firstLine="0"/>
      </w:pPr>
      <w:r>
        <w:rPr>
          <w:sz w:val="28"/>
          <w:szCs w:val="28"/>
        </w:rPr>
        <w:t>Kesimpulan</w:t>
      </w:r>
    </w:p>
    <w:p w14:paraId="2D6CDC9E" w14:textId="77777777" w:rsidR="00BE522A" w:rsidRDefault="00000000">
      <w:r>
        <w:t xml:space="preserve">Penelitian ini menyimpulkan bahwa </w:t>
      </w:r>
      <w:r>
        <w:rPr>
          <w:i/>
        </w:rPr>
        <w:t>growth mindset</w:t>
      </w:r>
      <w:r>
        <w:t xml:space="preserve"> tidak berpengaruh signifikan terhadap </w:t>
      </w:r>
      <w:r>
        <w:rPr>
          <w:i/>
        </w:rPr>
        <w:t>academic grit</w:t>
      </w:r>
      <w:r>
        <w:t xml:space="preserve"> siswa kelas X SMK Negeri 2 Sewon (</w:t>
      </w:r>
      <w:r>
        <w:rPr>
          <w:i/>
        </w:rPr>
        <w:t>B</w:t>
      </w:r>
      <w:r>
        <w:t xml:space="preserve"> = −0,083; </w:t>
      </w:r>
      <w:r>
        <w:rPr>
          <w:i/>
        </w:rPr>
        <w:t>p</w:t>
      </w:r>
      <w:r>
        <w:t xml:space="preserve"> = 0,422; </w:t>
      </w:r>
      <w:r>
        <w:rPr>
          <w:i/>
        </w:rPr>
        <w:t>R</w:t>
      </w:r>
      <w:r>
        <w:t xml:space="preserve">² = 0,004). </w:t>
      </w:r>
      <w:r>
        <w:rPr>
          <w:i/>
        </w:rPr>
        <w:t>Growth mindset</w:t>
      </w:r>
      <w:r>
        <w:t xml:space="preserve"> hanya dikaitkan dengan 0,4% variasi </w:t>
      </w:r>
      <w:r>
        <w:rPr>
          <w:i/>
        </w:rPr>
        <w:t>academic grit</w:t>
      </w:r>
      <w:r>
        <w:t xml:space="preserve">, sedangkan sisanya berkaitan dengan faktor lain yang tidak diteliti. Sebagian besar siswa berada pada kategori sedang, baik untuk </w:t>
      </w:r>
      <w:r>
        <w:rPr>
          <w:i/>
        </w:rPr>
        <w:t>growth mindset</w:t>
      </w:r>
      <w:r>
        <w:t xml:space="preserve"> (67,7%) maupun </w:t>
      </w:r>
      <w:r>
        <w:rPr>
          <w:i/>
        </w:rPr>
        <w:t>academic grit</w:t>
      </w:r>
      <w:r>
        <w:t xml:space="preserve"> (59,1%). Hasil ini menjawab tujuan penelitian </w:t>
      </w:r>
      <w:r>
        <w:lastRenderedPageBreak/>
        <w:t>dan menambah bukti dari konteks SMK bahwa keterkaitan kedua variabel tidak dapat diasumsikan berlaku umum.</w:t>
      </w:r>
    </w:p>
    <w:p w14:paraId="445858DD" w14:textId="77777777" w:rsidR="00BE522A" w:rsidRDefault="00000000">
      <w:r>
        <w:t xml:space="preserve">Secara teoretis, temuan ini menunjukkan bahwa hubungan </w:t>
      </w:r>
      <w:r>
        <w:rPr>
          <w:i/>
        </w:rPr>
        <w:t>growth mindset</w:t>
      </w:r>
      <w:r>
        <w:t xml:space="preserve"> dengan </w:t>
      </w:r>
      <w:r>
        <w:rPr>
          <w:i/>
        </w:rPr>
        <w:t>academic grit</w:t>
      </w:r>
      <w:r>
        <w:t xml:space="preserve"> bersifat kontekstual dan perlu dikaji bersama faktor lain, termasuk komponen </w:t>
      </w:r>
      <w:r>
        <w:rPr>
          <w:i/>
        </w:rPr>
        <w:t>grit</w:t>
      </w:r>
      <w:r>
        <w:t xml:space="preserve"> dan kemungkinan peran moderasi. Secara praktis, guru bimbingan dan konseling disarankan tidak hanya berfokus pada penguatan </w:t>
      </w:r>
      <w:r>
        <w:rPr>
          <w:i/>
        </w:rPr>
        <w:t>growth mindset</w:t>
      </w:r>
      <w:r>
        <w:t xml:space="preserve">, tetapi juga pada layanan yang menyasar tekad, ketangguhan, dan fokus belajar, dengan dukungan guru mata pelajaran dan orang tua. Keterbatasan penelitian mencakup cakupan satu sekolah, pemilihan kelas yang mempertimbangkan jadwal, penggunaan laporan diri dengan instrumen yang disusun sendiri, serta desain </w:t>
      </w:r>
      <w:r>
        <w:rPr>
          <w:i/>
        </w:rPr>
        <w:t>ex post facto</w:t>
      </w:r>
      <w:r>
        <w:t xml:space="preserve"> yang tidak mendukung kesimpulan kausal. Penelitian selanjutnya disarankan menggunakan sampel dari beberapa sekolah, analisis per aspek, dan desain longitudinal atau intervensi.</w:t>
      </w:r>
    </w:p>
    <w:p w14:paraId="0C55EA5C" w14:textId="77777777" w:rsidR="00BE522A" w:rsidRDefault="00000000">
      <w:pPr>
        <w:pStyle w:val="Judul1"/>
        <w:ind w:firstLine="0"/>
      </w:pPr>
      <w:r>
        <w:rPr>
          <w:sz w:val="28"/>
          <w:szCs w:val="28"/>
        </w:rPr>
        <w:t>Referensi</w:t>
      </w:r>
    </w:p>
    <w:p w14:paraId="570C7741" w14:textId="77777777" w:rsidR="00BE522A" w:rsidRDefault="00000000">
      <w:pPr>
        <w:spacing w:after="20"/>
        <w:ind w:left="425" w:hanging="425"/>
      </w:pPr>
      <w:bookmarkStart w:id="0" w:name="ref_blackwell"/>
      <w:r>
        <w:t xml:space="preserve">Blackwell, L. S., Trzesniewski, K. H., &amp; Dweck, C. S. (2007). Implicit theories of intelligence predict achievement across an adolescent transition: A longitudinal study and an intervention. </w:t>
      </w:r>
      <w:r>
        <w:rPr>
          <w:i/>
        </w:rPr>
        <w:t>Child Development, 78</w:t>
      </w:r>
      <w:r>
        <w:t xml:space="preserve">(1), 246–263. </w:t>
      </w:r>
      <w:r>
        <w:rPr>
          <w:color w:val="0000FF"/>
        </w:rPr>
        <w:t>https://doi.org/10.1111/j.1467-8624.2007.00995.x</w:t>
      </w:r>
      <w:bookmarkEnd w:id="0"/>
    </w:p>
    <w:p w14:paraId="1447DC6C" w14:textId="77777777" w:rsidR="00BE522A" w:rsidRDefault="00000000">
      <w:pPr>
        <w:spacing w:after="20"/>
        <w:ind w:left="425" w:hanging="425"/>
      </w:pPr>
      <w:bookmarkStart w:id="1" w:name="ref_burnette"/>
      <w:r>
        <w:t xml:space="preserve">Burnette, J. L., O’Boyle, E. H., VanEpps, E. M., Pollack, J. M., &amp; Finkel, E. J. (2013). Mind-sets matter: A meta-analytic review of implicit theories and self-regulation. </w:t>
      </w:r>
      <w:r>
        <w:rPr>
          <w:i/>
        </w:rPr>
        <w:t>Psychological Bulletin, 139</w:t>
      </w:r>
      <w:r>
        <w:t xml:space="preserve">(3), 655–701. </w:t>
      </w:r>
      <w:r>
        <w:rPr>
          <w:color w:val="0000FF"/>
        </w:rPr>
        <w:t>https://doi.org/10.1037/a0029531</w:t>
      </w:r>
      <w:bookmarkEnd w:id="1"/>
    </w:p>
    <w:p w14:paraId="23DFCC9D" w14:textId="77777777" w:rsidR="00BE522A" w:rsidRDefault="00000000">
      <w:pPr>
        <w:spacing w:after="20"/>
        <w:ind w:left="425" w:hanging="425"/>
      </w:pPr>
      <w:bookmarkStart w:id="2" w:name="ref_chris"/>
      <w:r>
        <w:t xml:space="preserve">Chrisantiana, T. G., &amp; Sembiring, T. (2017). Pengaruh growth dan fixed mindset terhadap grit pada mahasiswa Fakultas Psikologi Universitas “X” Bandung. </w:t>
      </w:r>
      <w:r>
        <w:rPr>
          <w:i/>
        </w:rPr>
        <w:t>Humanitas: Jurnal Psikologi, 1</w:t>
      </w:r>
      <w:r>
        <w:t xml:space="preserve">(2), 133–146. </w:t>
      </w:r>
      <w:r>
        <w:rPr>
          <w:color w:val="0000FF"/>
        </w:rPr>
        <w:t>https://doi.org/10.28932/humanitas.v1i2.422</w:t>
      </w:r>
      <w:bookmarkEnd w:id="2"/>
    </w:p>
    <w:p w14:paraId="5BB97169" w14:textId="77777777" w:rsidR="00BE522A" w:rsidRDefault="00000000">
      <w:pPr>
        <w:spacing w:after="20"/>
        <w:ind w:left="425" w:hanging="425"/>
      </w:pPr>
      <w:bookmarkStart w:id="3" w:name="ref_clark"/>
      <w:r>
        <w:t xml:space="preserve">Clark, K. N., &amp; Malecki, C. K. (2019). Academic Grit Scale: Psychometric properties and associations with achievement and life satisfaction. </w:t>
      </w:r>
      <w:r>
        <w:rPr>
          <w:i/>
        </w:rPr>
        <w:t>Journal of School Psychology, 72</w:t>
      </w:r>
      <w:r>
        <w:t xml:space="preserve">, 49–66. </w:t>
      </w:r>
      <w:r>
        <w:rPr>
          <w:color w:val="0000FF"/>
        </w:rPr>
        <w:t>https://doi.org/10.1016/j.jsp.2018.12.001</w:t>
      </w:r>
      <w:bookmarkEnd w:id="3"/>
    </w:p>
    <w:p w14:paraId="7440A2D5" w14:textId="77777777" w:rsidR="00BE522A" w:rsidRDefault="00000000">
      <w:pPr>
        <w:spacing w:after="20"/>
        <w:ind w:left="425" w:hanging="425"/>
      </w:pPr>
      <w:bookmarkStart w:id="4" w:name="ref_crede"/>
      <w:r>
        <w:t xml:space="preserve">Credé, M., Tynan, M. C., &amp; Harms, P. D. (2017). Much ado about grit: A meta-analytic synthesis of the grit literature. </w:t>
      </w:r>
      <w:r>
        <w:rPr>
          <w:i/>
        </w:rPr>
        <w:t>Journal of Personality and Social Psychology, 113</w:t>
      </w:r>
      <w:r>
        <w:t xml:space="preserve">(3), 492–511. </w:t>
      </w:r>
      <w:r>
        <w:rPr>
          <w:color w:val="0000FF"/>
        </w:rPr>
        <w:t>https://doi.org/10.1037/pspp0000102</w:t>
      </w:r>
      <w:bookmarkEnd w:id="4"/>
    </w:p>
    <w:p w14:paraId="6EB3AF7A" w14:textId="77777777" w:rsidR="00BE522A" w:rsidRDefault="00000000">
      <w:pPr>
        <w:spacing w:after="20"/>
        <w:ind w:left="425" w:hanging="425"/>
      </w:pPr>
      <w:bookmarkStart w:id="5" w:name="ref_duck2016"/>
      <w:r>
        <w:t xml:space="preserve">Duckworth, A. L. (2016). </w:t>
      </w:r>
      <w:r>
        <w:rPr>
          <w:i/>
        </w:rPr>
        <w:t>Grit: The power of passion and perseverance</w:t>
      </w:r>
      <w:r>
        <w:t>. Scribner.</w:t>
      </w:r>
      <w:bookmarkEnd w:id="5"/>
    </w:p>
    <w:p w14:paraId="7E5FBCF3" w14:textId="77777777" w:rsidR="00BE522A" w:rsidRDefault="00000000">
      <w:pPr>
        <w:spacing w:after="20"/>
        <w:ind w:left="425" w:hanging="425"/>
      </w:pPr>
      <w:bookmarkStart w:id="6" w:name="ref_duck2007"/>
      <w:r>
        <w:t xml:space="preserve">Duckworth, A. L., Peterson, C., Matthews, M. D., &amp; Kelly, D. R. (2007). Grit: Perseverance and passion for long-term goals. </w:t>
      </w:r>
      <w:r>
        <w:rPr>
          <w:i/>
        </w:rPr>
        <w:t>Journal of Personality and Social Psychology, 92</w:t>
      </w:r>
      <w:r>
        <w:t xml:space="preserve">(6), 1087–1101. </w:t>
      </w:r>
      <w:r>
        <w:rPr>
          <w:color w:val="0000FF"/>
        </w:rPr>
        <w:t>https://doi.org/10.1037/0022-3514.92.6.1087</w:t>
      </w:r>
      <w:bookmarkEnd w:id="6"/>
    </w:p>
    <w:p w14:paraId="39E0AA31" w14:textId="77777777" w:rsidR="00BE522A" w:rsidRDefault="00000000">
      <w:pPr>
        <w:spacing w:after="20"/>
        <w:ind w:left="425" w:hanging="425"/>
      </w:pPr>
      <w:bookmarkStart w:id="7" w:name="ref_duckq"/>
      <w:r>
        <w:t xml:space="preserve">Duckworth, A. L., &amp; Quinn, P. D. (2009). Development and validation of the Short Grit Scale (Grit-S). </w:t>
      </w:r>
      <w:r>
        <w:rPr>
          <w:i/>
        </w:rPr>
        <w:t>Journal of Personality Assessment, 91</w:t>
      </w:r>
      <w:r>
        <w:t xml:space="preserve">(2), 166–174. </w:t>
      </w:r>
      <w:r>
        <w:rPr>
          <w:color w:val="0000FF"/>
        </w:rPr>
        <w:t>https://doi.org/10.1080/00223890802634290</w:t>
      </w:r>
      <w:bookmarkEnd w:id="7"/>
    </w:p>
    <w:p w14:paraId="7AEDF3A3" w14:textId="77777777" w:rsidR="00BE522A" w:rsidRDefault="00000000">
      <w:pPr>
        <w:spacing w:after="20"/>
        <w:ind w:left="425" w:hanging="425"/>
      </w:pPr>
      <w:bookmarkStart w:id="8" w:name="ref_dweck2006"/>
      <w:r>
        <w:t xml:space="preserve">Dweck, C. S. (2006). </w:t>
      </w:r>
      <w:r>
        <w:rPr>
          <w:i/>
        </w:rPr>
        <w:t>Mindset: The new psychology of success</w:t>
      </w:r>
      <w:r>
        <w:t>. Random House.</w:t>
      </w:r>
      <w:bookmarkEnd w:id="8"/>
    </w:p>
    <w:p w14:paraId="15A8AC41" w14:textId="77777777" w:rsidR="00BE522A" w:rsidRDefault="00000000">
      <w:pPr>
        <w:spacing w:after="20"/>
        <w:ind w:left="425" w:hanging="425"/>
      </w:pPr>
      <w:bookmarkStart w:id="9" w:name="ref_dweckl"/>
      <w:r>
        <w:t xml:space="preserve">Dweck, C. S., &amp; Leggett, E. L. (1988). A social-cognitive approach to motivation and personality. </w:t>
      </w:r>
      <w:r>
        <w:rPr>
          <w:i/>
        </w:rPr>
        <w:t>Psychological Review, 95</w:t>
      </w:r>
      <w:r>
        <w:t xml:space="preserve">(2), 256–273. </w:t>
      </w:r>
      <w:r>
        <w:rPr>
          <w:color w:val="0000FF"/>
        </w:rPr>
        <w:t>https://doi.org/10.1037/0033-295X.95.2.256</w:t>
      </w:r>
      <w:bookmarkEnd w:id="9"/>
    </w:p>
    <w:p w14:paraId="02E4ECA5" w14:textId="77777777" w:rsidR="00BE522A" w:rsidRDefault="00000000">
      <w:pPr>
        <w:spacing w:after="20"/>
        <w:ind w:left="425" w:hanging="425"/>
      </w:pPr>
      <w:bookmarkStart w:id="10" w:name="ref_eskreis"/>
      <w:r>
        <w:t xml:space="preserve">Eskreis-Winkler, L., Shulman, E. P., Beal, S. A., &amp; Duckworth, A. L. (2014). The grit effect: Predicting retention in the military, the workplace, school and marriage. </w:t>
      </w:r>
      <w:r>
        <w:rPr>
          <w:i/>
        </w:rPr>
        <w:t>Frontiers in Psychology, 5</w:t>
      </w:r>
      <w:r>
        <w:t xml:space="preserve">, Article 36. </w:t>
      </w:r>
      <w:r>
        <w:rPr>
          <w:color w:val="0000FF"/>
        </w:rPr>
        <w:t>https://doi.org/10.3389/fpsyg.2014.00036</w:t>
      </w:r>
      <w:bookmarkEnd w:id="10"/>
    </w:p>
    <w:p w14:paraId="23571DCE" w14:textId="77777777" w:rsidR="00BE522A" w:rsidRDefault="00000000">
      <w:pPr>
        <w:spacing w:after="20"/>
        <w:ind w:left="425" w:hanging="425"/>
      </w:pPr>
      <w:bookmarkStart w:id="11" w:name="ref_fitri"/>
      <w:r>
        <w:t xml:space="preserve">Fitri, G. S., Sugara, G. S., Sulistiana, D., &amp; Bariyyah, K. (2022). Model pelatihan growth mindset untuk meningkatkan kegigihan (grit). </w:t>
      </w:r>
      <w:r>
        <w:rPr>
          <w:i/>
        </w:rPr>
        <w:t>JKI (Jurnal Konseling Indonesia), 8</w:t>
      </w:r>
      <w:r>
        <w:t xml:space="preserve">(1), 8–17. </w:t>
      </w:r>
      <w:r>
        <w:rPr>
          <w:color w:val="0000FF"/>
        </w:rPr>
        <w:t>https://ejournal.unikama.ac.id/index.php/JKI/article/view/8406</w:t>
      </w:r>
      <w:bookmarkEnd w:id="11"/>
    </w:p>
    <w:p w14:paraId="601F3397" w14:textId="77777777" w:rsidR="00BE522A" w:rsidRDefault="00000000">
      <w:pPr>
        <w:spacing w:after="20"/>
        <w:ind w:left="425" w:hanging="425"/>
      </w:pPr>
      <w:bookmarkStart w:id="12" w:name="ref_hoch"/>
      <w:r>
        <w:lastRenderedPageBreak/>
        <w:t xml:space="preserve">Hochanadel, A., &amp; Finamore, D. (2015). Fixed and growth mindset in education and how grit helps students persist in the face of adversity. </w:t>
      </w:r>
      <w:r>
        <w:rPr>
          <w:i/>
        </w:rPr>
        <w:t>Journal of International Education Research, 11</w:t>
      </w:r>
      <w:r>
        <w:t xml:space="preserve">(1), 47–50. </w:t>
      </w:r>
      <w:r>
        <w:rPr>
          <w:color w:val="0000FF"/>
        </w:rPr>
        <w:t>https://doi.org/10.19030/jier.v11i1.9099</w:t>
      </w:r>
      <w:bookmarkEnd w:id="12"/>
    </w:p>
    <w:p w14:paraId="280B0AD6" w14:textId="77777777" w:rsidR="00BE522A" w:rsidRDefault="00000000">
      <w:pPr>
        <w:spacing w:after="20"/>
        <w:ind w:left="425" w:hanging="425"/>
      </w:pPr>
      <w:bookmarkStart w:id="13" w:name="ref_izz"/>
      <w:r>
        <w:t xml:space="preserve">Izzulhaq, B. D., Feronika, T., &amp; Herpi, A. N. (2023). Hubungan grit dengan prestasi akademik mahasiswa. </w:t>
      </w:r>
      <w:r>
        <w:rPr>
          <w:i/>
        </w:rPr>
        <w:t>Journal of Educational Learning and Innovation (ELIa), 3</w:t>
      </w:r>
      <w:r>
        <w:t xml:space="preserve">(1), 165–174. </w:t>
      </w:r>
      <w:r>
        <w:rPr>
          <w:color w:val="0000FF"/>
        </w:rPr>
        <w:t>https://doi.org/10.46229/elia.v3i1.598</w:t>
      </w:r>
      <w:bookmarkEnd w:id="13"/>
    </w:p>
    <w:p w14:paraId="4AAB8B8F" w14:textId="77777777" w:rsidR="00BE522A" w:rsidRDefault="00000000">
      <w:pPr>
        <w:spacing w:after="20"/>
        <w:ind w:left="425" w:hanging="425"/>
      </w:pPr>
      <w:bookmarkStart w:id="14" w:name="ref_jach"/>
      <w:r>
        <w:t xml:space="preserve">Jach, H. K., Sun, J., Loton, D., Chin, T.-C., &amp; Waters, L. E. (2018). Strengths and subjective wellbeing in adolescence: Strength-based parenting and the moderating effect of mindset. </w:t>
      </w:r>
      <w:r>
        <w:rPr>
          <w:i/>
        </w:rPr>
        <w:t>Journal of Happiness Studies, 19</w:t>
      </w:r>
      <w:r>
        <w:t xml:space="preserve">(2), 567–586. </w:t>
      </w:r>
      <w:r>
        <w:rPr>
          <w:color w:val="0000FF"/>
        </w:rPr>
        <w:t>https://doi.org/10.1007/s10902-016-9841-y</w:t>
      </w:r>
      <w:bookmarkEnd w:id="14"/>
    </w:p>
    <w:p w14:paraId="3215C24B" w14:textId="77777777" w:rsidR="00BE522A" w:rsidRDefault="00000000">
      <w:pPr>
        <w:spacing w:after="20"/>
        <w:ind w:left="425" w:hanging="425"/>
      </w:pPr>
      <w:bookmarkStart w:id="15" w:name="ref_kann"/>
      <w:r>
        <w:t xml:space="preserve">Kannangara, C. S., Allen, R. E., Waugh, G., Nahar, N., Khan, S. Z. N., Rogerson, S., &amp; Carson, J. (2018). All that glitters is not grit: Three studies of grit in university students. </w:t>
      </w:r>
      <w:r>
        <w:rPr>
          <w:i/>
        </w:rPr>
        <w:t>Frontiers in Psychology, 9</w:t>
      </w:r>
      <w:r>
        <w:t xml:space="preserve">, Article 1539. </w:t>
      </w:r>
      <w:r>
        <w:rPr>
          <w:color w:val="0000FF"/>
        </w:rPr>
        <w:t>https://doi.org/10.3389/fpsyg.2018.01539</w:t>
      </w:r>
      <w:bookmarkEnd w:id="15"/>
    </w:p>
    <w:p w14:paraId="07CB8CD1" w14:textId="77777777" w:rsidR="00BE522A" w:rsidRDefault="00000000">
      <w:pPr>
        <w:spacing w:after="20"/>
        <w:ind w:left="425" w:hanging="425"/>
      </w:pPr>
      <w:bookmarkStart w:id="16" w:name="ref_lam"/>
      <w:r>
        <w:t xml:space="preserve">Lam, K. K. L., &amp; Zhou, M. (2022). Grit and academic achievement: A comparative cross-cultural meta-analysis. </w:t>
      </w:r>
      <w:r>
        <w:rPr>
          <w:i/>
        </w:rPr>
        <w:t>Journal of Educational Psychology, 114</w:t>
      </w:r>
      <w:r>
        <w:t xml:space="preserve">(3), 597–621. </w:t>
      </w:r>
      <w:r>
        <w:rPr>
          <w:color w:val="0000FF"/>
        </w:rPr>
        <w:t>https://doi.org/10.1037/edu0000699</w:t>
      </w:r>
      <w:bookmarkEnd w:id="16"/>
    </w:p>
    <w:p w14:paraId="26E5F20A" w14:textId="77777777" w:rsidR="00BE522A" w:rsidRDefault="00000000">
      <w:pPr>
        <w:spacing w:after="20"/>
        <w:ind w:left="425" w:hanging="425"/>
      </w:pPr>
      <w:bookmarkStart w:id="17" w:name="ref_li"/>
      <w:r>
        <w:t xml:space="preserve">Li, J., &amp; Li, Y. (2021). The role of grit on students’ academic success in experiential learning context. </w:t>
      </w:r>
      <w:r>
        <w:rPr>
          <w:i/>
        </w:rPr>
        <w:t>Frontiers in Psychology, 12</w:t>
      </w:r>
      <w:r>
        <w:t xml:space="preserve">, Article 774149. </w:t>
      </w:r>
      <w:r>
        <w:rPr>
          <w:color w:val="0000FF"/>
        </w:rPr>
        <w:t>https://doi.org/10.3389/fpsyg.2021.774149</w:t>
      </w:r>
      <w:bookmarkEnd w:id="17"/>
    </w:p>
    <w:p w14:paraId="5E832161" w14:textId="77777777" w:rsidR="00BE522A" w:rsidRDefault="00000000">
      <w:pPr>
        <w:spacing w:after="20"/>
        <w:ind w:left="425" w:hanging="425"/>
      </w:pPr>
      <w:bookmarkStart w:id="18" w:name="ref_liang"/>
      <w:r>
        <w:t xml:space="preserve">Liang, H., &amp; Wu, S. (2025). Dynamic pathways to academic engagement in university students: A mixed-methods study on growth mindset, grit, and academic self-efficacy with ecological momentary assessment. </w:t>
      </w:r>
      <w:r>
        <w:rPr>
          <w:i/>
        </w:rPr>
        <w:t>Frontiers in Psychology, 16</w:t>
      </w:r>
      <w:r>
        <w:t xml:space="preserve">, Article 1653578. </w:t>
      </w:r>
      <w:r>
        <w:rPr>
          <w:color w:val="0000FF"/>
        </w:rPr>
        <w:t>https://doi.org/10.3389/fpsyg.2025.1653578</w:t>
      </w:r>
      <w:bookmarkEnd w:id="18"/>
    </w:p>
    <w:p w14:paraId="67A46578" w14:textId="77777777" w:rsidR="00BE522A" w:rsidRDefault="00000000">
      <w:pPr>
        <w:spacing w:after="20"/>
        <w:ind w:left="425" w:hanging="425"/>
      </w:pPr>
      <w:bookmarkStart w:id="19" w:name="ref_martinez"/>
      <w:r>
        <w:t xml:space="preserve">Martinez, K. M., Holden, L. R., Hart, S. A., &amp; Taylor, J. (2022). Examining mindset and grit in concurrent and future reading comprehension: A twin study. </w:t>
      </w:r>
      <w:r>
        <w:rPr>
          <w:i/>
        </w:rPr>
        <w:t>Developmental Psychology, 58</w:t>
      </w:r>
      <w:r>
        <w:t xml:space="preserve">(11), 2171–2183. </w:t>
      </w:r>
      <w:r>
        <w:rPr>
          <w:color w:val="0000FF"/>
        </w:rPr>
        <w:t>https://doi.org/10.1037/dev0001425</w:t>
      </w:r>
      <w:bookmarkEnd w:id="19"/>
    </w:p>
    <w:p w14:paraId="28D5A7A1" w14:textId="77777777" w:rsidR="00BE522A" w:rsidRDefault="00000000">
      <w:pPr>
        <w:spacing w:after="20"/>
        <w:ind w:left="425" w:hanging="425"/>
      </w:pPr>
      <w:bookmarkStart w:id="20" w:name="ref_masuda"/>
      <w:r>
        <w:t xml:space="preserve">Mas’uda, I., &amp; Amawidyati, S. A. G. (2023). Cultivating grit in higher education: Exploring the influence of growth mindset among university students. </w:t>
      </w:r>
      <w:r>
        <w:rPr>
          <w:i/>
        </w:rPr>
        <w:t>Educational Psychology Journal, 12</w:t>
      </w:r>
      <w:r>
        <w:t xml:space="preserve">(1), 32–42. </w:t>
      </w:r>
      <w:r>
        <w:rPr>
          <w:color w:val="0000FF"/>
        </w:rPr>
        <w:t>https://journal.unnes.ac.id/journals/epj/article/view/10020</w:t>
      </w:r>
      <w:bookmarkEnd w:id="20"/>
    </w:p>
    <w:p w14:paraId="278C88B5" w14:textId="77777777" w:rsidR="00BE522A" w:rsidRDefault="00000000">
      <w:pPr>
        <w:spacing w:after="20"/>
        <w:ind w:left="425" w:hanging="425"/>
      </w:pPr>
      <w:bookmarkStart w:id="21" w:name="ref_mayshita"/>
      <w:r>
        <w:t xml:space="preserve">Mayshita, A. A., Anggarani, F. K., &amp; Agustina, L. S. S. (2023). Hubungan antara growth mindset dan grit akademik pada mahasiswa bekerja. </w:t>
      </w:r>
      <w:r>
        <w:rPr>
          <w:i/>
        </w:rPr>
        <w:t>Jurnal Ilmiah Psikologi Candrajiwa, 8</w:t>
      </w:r>
      <w:r>
        <w:t xml:space="preserve">(1), 34–43. </w:t>
      </w:r>
      <w:r>
        <w:rPr>
          <w:color w:val="0000FF"/>
        </w:rPr>
        <w:t>https://doi.org/10.20961/jip.v8i1.69360</w:t>
      </w:r>
      <w:bookmarkEnd w:id="21"/>
    </w:p>
    <w:p w14:paraId="55654A97" w14:textId="77777777" w:rsidR="00BE522A" w:rsidRDefault="00000000">
      <w:pPr>
        <w:spacing w:after="20"/>
        <w:ind w:left="425" w:hanging="425"/>
      </w:pPr>
      <w:bookmarkStart w:id="22" w:name="ref_morell"/>
      <w:r>
        <w:t xml:space="preserve">Morell, M., Yang, J. S., Gladstone, J. R., Turci Faust, L., Ponnock, A. R., Lim, H. J., &amp; Wigfield, A. (2021). Grit: The long and short of it. </w:t>
      </w:r>
      <w:r>
        <w:rPr>
          <w:i/>
        </w:rPr>
        <w:t>Journal of Educational Psychology, 113</w:t>
      </w:r>
      <w:r>
        <w:t xml:space="preserve">(5), 1038–1058. </w:t>
      </w:r>
      <w:r>
        <w:rPr>
          <w:color w:val="0000FF"/>
        </w:rPr>
        <w:t>https://doi.org/10.1037/edu0000594</w:t>
      </w:r>
      <w:bookmarkEnd w:id="22"/>
    </w:p>
    <w:p w14:paraId="29EB5D98" w14:textId="77777777" w:rsidR="00BE522A" w:rsidRDefault="00000000">
      <w:pPr>
        <w:spacing w:after="20"/>
        <w:ind w:left="425" w:hanging="425"/>
      </w:pPr>
      <w:bookmarkStart w:id="23" w:name="ref_park"/>
      <w:r>
        <w:t xml:space="preserve">Park, D., Tsukayama, E., Yu, A., &amp; Duckworth, A. L. (2020). The development of grit and growth mindset during adolescence. </w:t>
      </w:r>
      <w:r>
        <w:rPr>
          <w:i/>
        </w:rPr>
        <w:t>Journal of Experimental Child Psychology, 198</w:t>
      </w:r>
      <w:r>
        <w:t xml:space="preserve">, Article 104889. </w:t>
      </w:r>
      <w:r>
        <w:rPr>
          <w:color w:val="0000FF"/>
        </w:rPr>
        <w:t>https://doi.org/10.1016/j.jecp.2020.104889</w:t>
      </w:r>
      <w:bookmarkEnd w:id="23"/>
    </w:p>
    <w:p w14:paraId="457268C9" w14:textId="77777777" w:rsidR="00BE522A" w:rsidRDefault="00000000">
      <w:pPr>
        <w:spacing w:after="20"/>
        <w:ind w:left="425" w:hanging="425"/>
      </w:pPr>
      <w:bookmarkStart w:id="24" w:name="ref_pratiwi"/>
      <w:r>
        <w:t xml:space="preserve">Pratiwi, M., Iswari, R. D., Nesvita, M. D., &amp; Khairiyah, U. S. (2023). Growth mindset and grit: Examining the academic buoyancy of college students implementing online lectures. </w:t>
      </w:r>
      <w:r>
        <w:rPr>
          <w:i/>
        </w:rPr>
        <w:t>Jurnal Sains Psikologi, 12</w:t>
      </w:r>
      <w:r>
        <w:t xml:space="preserve">(1), 70–80. </w:t>
      </w:r>
      <w:r>
        <w:rPr>
          <w:color w:val="0000FF"/>
        </w:rPr>
        <w:t>https://doi.org/10.17977/um023v12i12023p70-80</w:t>
      </w:r>
      <w:bookmarkEnd w:id="24"/>
    </w:p>
    <w:p w14:paraId="512AB552" w14:textId="77777777" w:rsidR="00BE522A" w:rsidRDefault="00000000">
      <w:pPr>
        <w:spacing w:after="20"/>
        <w:ind w:left="425" w:hanging="425"/>
      </w:pPr>
      <w:bookmarkStart w:id="25" w:name="ref_sisk"/>
      <w:r>
        <w:t xml:space="preserve">Sisk, V. F., Burgoyne, A. P., Sun, J., Butler, J. L., &amp; Macnamara, B. N. (2018). To what extent and under which circumstances are growth mind-sets important to academic achievement? Two meta-analyses. </w:t>
      </w:r>
      <w:r>
        <w:rPr>
          <w:i/>
        </w:rPr>
        <w:t>Psychological Science, 29</w:t>
      </w:r>
      <w:r>
        <w:t xml:space="preserve">(4), 549–571. </w:t>
      </w:r>
      <w:r>
        <w:rPr>
          <w:color w:val="0000FF"/>
        </w:rPr>
        <w:t>https://doi.org/10.1177/0956797617739704</w:t>
      </w:r>
      <w:bookmarkEnd w:id="25"/>
    </w:p>
    <w:p w14:paraId="6E7ADD82" w14:textId="77777777" w:rsidR="00BE522A" w:rsidRDefault="00000000">
      <w:pPr>
        <w:spacing w:after="20"/>
        <w:ind w:left="425" w:hanging="425"/>
      </w:pPr>
      <w:bookmarkStart w:id="26" w:name="ref_stoffel"/>
      <w:r>
        <w:t xml:space="preserve">Stoffel, J. M., &amp; Cain, J. (2018). Review of grit and resilience literature within health professions education. </w:t>
      </w:r>
      <w:r>
        <w:rPr>
          <w:i/>
        </w:rPr>
        <w:t>American Journal of Pharmaceutical Education, 82</w:t>
      </w:r>
      <w:r>
        <w:t xml:space="preserve">(2), Article 6150. </w:t>
      </w:r>
      <w:r>
        <w:rPr>
          <w:color w:val="0000FF"/>
        </w:rPr>
        <w:t>https://doi.org/10.5688/ajpe6150</w:t>
      </w:r>
      <w:bookmarkEnd w:id="26"/>
    </w:p>
    <w:p w14:paraId="7A90B271" w14:textId="77777777" w:rsidR="00BE522A" w:rsidRDefault="00000000">
      <w:pPr>
        <w:spacing w:after="20"/>
        <w:ind w:left="425" w:hanging="425"/>
      </w:pPr>
      <w:bookmarkStart w:id="27" w:name="ref_sugiyono"/>
      <w:r>
        <w:lastRenderedPageBreak/>
        <w:t xml:space="preserve">Sugiyono. (2017). </w:t>
      </w:r>
      <w:r>
        <w:rPr>
          <w:i/>
        </w:rPr>
        <w:t>Metode penelitian pendidikan: Pendekatan kuantitatif, kualitatif, dan R&amp;D</w:t>
      </w:r>
      <w:r>
        <w:t>. Alfabeta.</w:t>
      </w:r>
      <w:bookmarkEnd w:id="27"/>
    </w:p>
    <w:p w14:paraId="1C1AA0C0" w14:textId="77777777" w:rsidR="00BE522A" w:rsidRDefault="00000000">
      <w:pPr>
        <w:spacing w:after="20"/>
        <w:ind w:left="425" w:hanging="425"/>
      </w:pPr>
      <w:bookmarkStart w:id="28" w:name="ref_tan"/>
      <w:r>
        <w:t xml:space="preserve">Tan, J., Yap, K., &amp; Bhattacharya, J. (2021). What does it take to flow? Investigating links between grit, growth mindset, and flow in musicians. </w:t>
      </w:r>
      <w:r>
        <w:rPr>
          <w:i/>
        </w:rPr>
        <w:t>Music &amp; Science, 4</w:t>
      </w:r>
      <w:r>
        <w:t xml:space="preserve">, 1–11. </w:t>
      </w:r>
      <w:r>
        <w:rPr>
          <w:color w:val="0000FF"/>
        </w:rPr>
        <w:t>https://doi.org/10.1177/2059204321989529</w:t>
      </w:r>
      <w:bookmarkEnd w:id="28"/>
    </w:p>
    <w:p w14:paraId="4495976D" w14:textId="77777777" w:rsidR="00BE522A" w:rsidRDefault="00000000">
      <w:pPr>
        <w:spacing w:after="20"/>
        <w:ind w:left="425" w:hanging="425"/>
      </w:pPr>
      <w:bookmarkStart w:id="29" w:name="ref_tang"/>
      <w:r>
        <w:t xml:space="preserve">Tang, X., Wang, M.-T., Guo, J., &amp; Salmela-Aro, K. (2019). Building grit: The longitudinal pathways between mindset, commitment, grit, and academic outcomes. </w:t>
      </w:r>
      <w:r>
        <w:rPr>
          <w:i/>
        </w:rPr>
        <w:t>Journal of Youth and Adolescence, 48</w:t>
      </w:r>
      <w:r>
        <w:t xml:space="preserve">(5), 850–863. </w:t>
      </w:r>
      <w:r>
        <w:rPr>
          <w:color w:val="0000FF"/>
        </w:rPr>
        <w:t>https://doi.org/10.1007/s10964-019-00998-0</w:t>
      </w:r>
      <w:bookmarkEnd w:id="29"/>
    </w:p>
    <w:p w14:paraId="39DF1AD9" w14:textId="77777777" w:rsidR="00BE522A" w:rsidRDefault="00000000">
      <w:pPr>
        <w:spacing w:after="20"/>
        <w:ind w:left="425" w:hanging="425"/>
      </w:pPr>
      <w:bookmarkStart w:id="30" w:name="ref_wahidah"/>
      <w:r>
        <w:t xml:space="preserve">Wahidah, F. R. N., Wibowo, U. D. A., Gunawan, G., &amp; Luthfiyanti, I. (2023). Growth mindset dan grit pada pimpinan cabang Muhammadiyah. </w:t>
      </w:r>
      <w:r>
        <w:rPr>
          <w:i/>
        </w:rPr>
        <w:t>GUIDENA: Jurnal Ilmu Pendidikan, Psikologi, Bimbingan dan Konseling, 13</w:t>
      </w:r>
      <w:r>
        <w:t xml:space="preserve">(4), 949. </w:t>
      </w:r>
      <w:r>
        <w:rPr>
          <w:color w:val="0000FF"/>
        </w:rPr>
        <w:t>https://doi.org/10.24127/gdn.v13i4.8571</w:t>
      </w:r>
      <w:bookmarkEnd w:id="30"/>
    </w:p>
    <w:p w14:paraId="3F15C00A" w14:textId="77777777" w:rsidR="00BE522A" w:rsidRDefault="00000000">
      <w:pPr>
        <w:spacing w:after="20"/>
        <w:ind w:left="425" w:hanging="425"/>
      </w:pPr>
      <w:bookmarkStart w:id="31" w:name="ref_yeagerd"/>
      <w:r>
        <w:t xml:space="preserve">Yeager, D. S., &amp; Dweck, C. S. (2012). Mindsets that promote resilience: When students believe that personal characteristics can be developed. </w:t>
      </w:r>
      <w:r>
        <w:rPr>
          <w:i/>
        </w:rPr>
        <w:t>Educational Psychologist, 47</w:t>
      </w:r>
      <w:r>
        <w:t xml:space="preserve">(4), 302–314. </w:t>
      </w:r>
      <w:r>
        <w:rPr>
          <w:color w:val="0000FF"/>
        </w:rPr>
        <w:t>https://doi.org/10.1080/00461520.2012.722805</w:t>
      </w:r>
      <w:bookmarkEnd w:id="31"/>
    </w:p>
    <w:p w14:paraId="407504DE" w14:textId="77777777" w:rsidR="00BE522A" w:rsidRDefault="00000000">
      <w:pPr>
        <w:spacing w:after="20"/>
        <w:ind w:left="425" w:hanging="425"/>
      </w:pPr>
      <w:bookmarkStart w:id="32" w:name="ref_yeager2019"/>
      <w:r>
        <w:t xml:space="preserve">Yeager, D. S., Hanselman, P., Walton, G. M., Murray, J. S., Crosnoe, R., Muller, C., Tipton, E., Schneider, B., Hulleman, C. S., Hinojosa, C. P., Paunesku, D., Romero, C., Flint, K., Roberts, A., Trott, J., Iachan, R., Buontempo, J., Yang, S. M., Carvalho, C. M., . . . Dweck, C. S. (2019). A national experiment reveals where a growth mindset improves achievement. </w:t>
      </w:r>
      <w:r>
        <w:rPr>
          <w:i/>
        </w:rPr>
        <w:t>Nature, 573</w:t>
      </w:r>
      <w:r>
        <w:t xml:space="preserve">(7774), 364–369. </w:t>
      </w:r>
      <w:r>
        <w:rPr>
          <w:color w:val="0000FF"/>
        </w:rPr>
        <w:t>https://doi.org/10.1038/s41586-019-1466-y</w:t>
      </w:r>
      <w:bookmarkEnd w:id="32"/>
    </w:p>
    <w:sectPr w:rsidR="00BE522A" w:rsidSect="00E75E1B">
      <w:headerReference w:type="even" r:id="rId8"/>
      <w:headerReference w:type="default" r:id="rId9"/>
      <w:footerReference w:type="even" r:id="rId10"/>
      <w:footerReference w:type="default" r:id="rId11"/>
      <w:headerReference w:type="first" r:id="rId12"/>
      <w:footerReference w:type="first" r:id="rId13"/>
      <w:pgSz w:w="11907" w:h="16840"/>
      <w:pgMar w:top="1418" w:right="1418" w:bottom="1418" w:left="1418" w:header="709" w:footer="709" w:gutter="0"/>
      <w:pgNumType w:start="2148"/>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C0856" w14:textId="77777777" w:rsidR="00BB724B" w:rsidRDefault="00BB724B">
      <w:r>
        <w:separator/>
      </w:r>
    </w:p>
  </w:endnote>
  <w:endnote w:type="continuationSeparator" w:id="0">
    <w:p w14:paraId="76B1E40C" w14:textId="77777777" w:rsidR="00BB724B" w:rsidRDefault="00BB7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embedRegular r:id="rId1" w:fontKey="{618E1383-7249-124C-8E54-F88E43AE1B4A}"/>
    <w:embedBold r:id="rId2" w:fontKey="{83A97A5B-225B-914F-96AD-3B33DF45F6D8}"/>
    <w:embedItalic r:id="rId3" w:fontKey="{F26B6B9C-9E06-CB4A-94A8-9827F846A4D5}"/>
    <w:embedBoldItalic r:id="rId4" w:fontKey="{6DF8C899-7D16-694E-B047-E1A98572601D}"/>
  </w:font>
  <w:font w:name="Arial Nova Cond">
    <w:panose1 w:val="020B0506020202020204"/>
    <w:charset w:val="00"/>
    <w:family w:val="swiss"/>
    <w:pitch w:val="variable"/>
    <w:sig w:usb0="0000028F" w:usb1="00000002" w:usb2="00000000" w:usb3="00000000" w:csb0="0000019F" w:csb1="00000000"/>
    <w:embedRegular r:id="rId5" w:fontKey="{041C2B58-1846-8948-B82E-AC6F6217DC3D}"/>
    <w:embedBold r:id="rId6" w:fontKey="{D344BA11-A737-AA44-A9D3-CCE32831945F}"/>
    <w:embedItalic r:id="rId7" w:fontKey="{3106BFBA-DFC9-C842-9F9B-B0B80C4C2C45}"/>
    <w:embedBoldItalic r:id="rId8" w:fontKey="{6C24069B-406C-B246-BAB6-5E470F927B7E}"/>
  </w:font>
  <w:font w:name="Times New Roman">
    <w:panose1 w:val="02020603050405020304"/>
    <w:charset w:val="00"/>
    <w:family w:val="roman"/>
    <w:pitch w:val="variable"/>
    <w:sig w:usb0="E0002EFF" w:usb1="C000785B" w:usb2="00000009" w:usb3="00000000" w:csb0="000001FF" w:csb1="00000000"/>
    <w:embedRegular r:id="rId9" w:fontKey="{733FC3C7-0D48-6045-B060-09E4A1888B7E}"/>
  </w:font>
  <w:font w:name="Georgia">
    <w:panose1 w:val="02040502050405020303"/>
    <w:charset w:val="00"/>
    <w:family w:val="roman"/>
    <w:pitch w:val="variable"/>
    <w:sig w:usb0="00000287" w:usb1="00000000" w:usb2="00000000" w:usb3="00000000" w:csb0="0000009F" w:csb1="00000000"/>
    <w:embedItalic r:id="rId10" w:fontKey="{83752AA2-92E3-CE45-BD8B-D0B687139756}"/>
  </w:font>
  <w:font w:name="Arial Nova Cond Light">
    <w:panose1 w:val="020B0306020202020204"/>
    <w:charset w:val="00"/>
    <w:family w:val="swiss"/>
    <w:pitch w:val="variable"/>
    <w:sig w:usb0="0000028F" w:usb1="00000002" w:usb2="00000000" w:usb3="00000000" w:csb0="0000019F" w:csb1="00000000"/>
    <w:embedRegular r:id="rId11" w:fontKey="{B90A513F-2E00-7749-9E35-AFE7AF98BCF5}"/>
    <w:embedBold r:id="rId12" w:fontKey="{7C8B0273-35AC-B549-BAD6-08926978A5ED}"/>
  </w:font>
  <w:font w:name="Cambria">
    <w:panose1 w:val="02040503050406030204"/>
    <w:charset w:val="00"/>
    <w:family w:val="roman"/>
    <w:pitch w:val="variable"/>
    <w:sig w:usb0="E00002FF" w:usb1="400004FF" w:usb2="00000000" w:usb3="00000000" w:csb0="0000019F" w:csb1="00000000"/>
    <w:embedRegular r:id="rId13" w:fontKey="{97F1F52D-6109-AF4F-8244-BA19157FB35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63619" w14:textId="77777777" w:rsidR="001F5D90" w:rsidRDefault="00000000">
    <w:pPr>
      <w:pBdr>
        <w:top w:val="nil"/>
        <w:left w:val="nil"/>
        <w:bottom w:val="nil"/>
        <w:right w:val="nil"/>
        <w:between w:val="nil"/>
      </w:pBdr>
      <w:tabs>
        <w:tab w:val="center" w:pos="4513"/>
        <w:tab w:val="right" w:pos="9026"/>
      </w:tabs>
      <w:rPr>
        <w:rFonts w:ascii="Arial Nova Cond Light" w:eastAsia="Arial Nova Cond Light" w:hAnsi="Arial Nova Cond Light" w:cs="Arial Nova Cond Light"/>
      </w:rPr>
    </w:pPr>
    <w:r>
      <w:rPr>
        <w:rFonts w:ascii="Arial Nova Cond Light" w:eastAsia="Arial Nova Cond Light" w:hAnsi="Arial Nova Cond Light" w:cs="Arial Nova Cond Light"/>
      </w:rPr>
      <w:fldChar w:fldCharType="begin"/>
    </w:r>
    <w:r>
      <w:rPr>
        <w:rFonts w:ascii="Arial Nova Cond Light" w:eastAsia="Arial Nova Cond Light" w:hAnsi="Arial Nova Cond Light" w:cs="Arial Nova Cond Light"/>
      </w:rPr>
      <w:instrText>PAGE</w:instrText>
    </w:r>
    <w:r>
      <w:rPr>
        <w:rFonts w:ascii="Arial Nova Cond Light" w:eastAsia="Arial Nova Cond Light" w:hAnsi="Arial Nova Cond Light" w:cs="Arial Nova Cond Light"/>
      </w:rPr>
      <w:fldChar w:fldCharType="separate"/>
    </w:r>
    <w:r w:rsidR="00A952E1">
      <w:rPr>
        <w:rFonts w:ascii="Arial Nova Cond Light" w:eastAsia="Arial Nova Cond Light" w:hAnsi="Arial Nova Cond Light" w:cs="Arial Nova Cond Light"/>
        <w:noProof/>
      </w:rPr>
      <w:t>2</w:t>
    </w:r>
    <w:r>
      <w:rPr>
        <w:rFonts w:ascii="Arial Nova Cond Light" w:eastAsia="Arial Nova Cond Light" w:hAnsi="Arial Nova Cond Light" w:cs="Arial Nova Cond Light"/>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5E85D" w14:textId="77777777" w:rsidR="001F5D90" w:rsidRDefault="00000000">
    <w:pPr>
      <w:pBdr>
        <w:top w:val="nil"/>
        <w:left w:val="nil"/>
        <w:bottom w:val="nil"/>
        <w:right w:val="nil"/>
        <w:between w:val="nil"/>
      </w:pBdr>
      <w:tabs>
        <w:tab w:val="center" w:pos="4513"/>
        <w:tab w:val="right" w:pos="9026"/>
      </w:tabs>
      <w:jc w:val="right"/>
      <w:rPr>
        <w:rFonts w:ascii="Arial Nova Cond Light" w:eastAsia="Arial Nova Cond Light" w:hAnsi="Arial Nova Cond Light" w:cs="Arial Nova Cond Light"/>
      </w:rPr>
    </w:pPr>
    <w:r>
      <w:rPr>
        <w:rFonts w:ascii="Arial Nova Cond Light" w:eastAsia="Arial Nova Cond Light" w:hAnsi="Arial Nova Cond Light" w:cs="Arial Nova Cond Light"/>
      </w:rPr>
      <w:fldChar w:fldCharType="begin"/>
    </w:r>
    <w:r>
      <w:rPr>
        <w:rFonts w:ascii="Arial Nova Cond Light" w:eastAsia="Arial Nova Cond Light" w:hAnsi="Arial Nova Cond Light" w:cs="Arial Nova Cond Light"/>
      </w:rPr>
      <w:instrText>PAGE</w:instrText>
    </w:r>
    <w:r>
      <w:rPr>
        <w:rFonts w:ascii="Arial Nova Cond Light" w:eastAsia="Arial Nova Cond Light" w:hAnsi="Arial Nova Cond Light" w:cs="Arial Nova Cond Light"/>
      </w:rPr>
      <w:fldChar w:fldCharType="separate"/>
    </w:r>
    <w:r w:rsidR="00A952E1">
      <w:rPr>
        <w:rFonts w:ascii="Arial Nova Cond Light" w:eastAsia="Arial Nova Cond Light" w:hAnsi="Arial Nova Cond Light" w:cs="Arial Nova Cond Light"/>
        <w:noProof/>
      </w:rPr>
      <w:t>3</w:t>
    </w:r>
    <w:r>
      <w:rPr>
        <w:rFonts w:ascii="Arial Nova Cond Light" w:eastAsia="Arial Nova Cond Light" w:hAnsi="Arial Nova Cond Light" w:cs="Arial Nova Cond Light"/>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36C73" w14:textId="77777777" w:rsidR="001F5D90" w:rsidRDefault="001F5D90">
    <w:pPr>
      <w:pBdr>
        <w:top w:val="nil"/>
        <w:left w:val="nil"/>
        <w:bottom w:val="nil"/>
        <w:right w:val="nil"/>
        <w:between w:val="nil"/>
      </w:pBdr>
      <w:tabs>
        <w:tab w:val="center" w:pos="4513"/>
        <w:tab w:val="right" w:pos="9026"/>
      </w:tabs>
      <w:rPr>
        <w:rFonts w:ascii="Arial Nova Cond Light" w:eastAsia="Arial Nova Cond Light" w:hAnsi="Arial Nova Cond Light" w:cs="Arial Nova Cond Light"/>
        <w:color w:val="1F497D"/>
      </w:rPr>
    </w:pPr>
  </w:p>
  <w:p w14:paraId="4B347BE0" w14:textId="77777777" w:rsidR="001F5D90" w:rsidRDefault="00000000">
    <w:pPr>
      <w:pBdr>
        <w:top w:val="nil"/>
        <w:left w:val="nil"/>
        <w:bottom w:val="nil"/>
        <w:right w:val="nil"/>
        <w:between w:val="nil"/>
      </w:pBdr>
      <w:tabs>
        <w:tab w:val="center" w:pos="4513"/>
        <w:tab w:val="right" w:pos="9026"/>
      </w:tabs>
      <w:jc w:val="center"/>
      <w:rPr>
        <w:rFonts w:ascii="Arial Nova Cond Light" w:eastAsia="Arial Nova Cond Light" w:hAnsi="Arial Nova Cond Light" w:cs="Arial Nova Cond Light"/>
        <w:szCs w:val="24"/>
      </w:rPr>
    </w:pPr>
    <w:r>
      <w:rPr>
        <w:rFonts w:ascii="Arial Nova Cond Light" w:eastAsia="Arial Nova Cond Light" w:hAnsi="Arial Nova Cond Light" w:cs="Arial Nova Cond Light"/>
        <w:szCs w:val="24"/>
      </w:rPr>
      <w:fldChar w:fldCharType="begin"/>
    </w:r>
    <w:r>
      <w:rPr>
        <w:rFonts w:ascii="Arial Nova Cond Light" w:eastAsia="Arial Nova Cond Light" w:hAnsi="Arial Nova Cond Light" w:cs="Arial Nova Cond Light"/>
        <w:szCs w:val="24"/>
      </w:rPr>
      <w:instrText>PAGE</w:instrText>
    </w:r>
    <w:r>
      <w:rPr>
        <w:rFonts w:ascii="Arial Nova Cond Light" w:eastAsia="Arial Nova Cond Light" w:hAnsi="Arial Nova Cond Light" w:cs="Arial Nova Cond Light"/>
        <w:szCs w:val="24"/>
      </w:rPr>
      <w:fldChar w:fldCharType="separate"/>
    </w:r>
    <w:r w:rsidR="00A952E1">
      <w:rPr>
        <w:rFonts w:ascii="Arial Nova Cond Light" w:eastAsia="Arial Nova Cond Light" w:hAnsi="Arial Nova Cond Light" w:cs="Arial Nova Cond Light"/>
        <w:noProof/>
        <w:szCs w:val="24"/>
      </w:rPr>
      <w:t>1</w:t>
    </w:r>
    <w:r>
      <w:rPr>
        <w:rFonts w:ascii="Arial Nova Cond Light" w:eastAsia="Arial Nova Cond Light" w:hAnsi="Arial Nova Cond Light" w:cs="Arial Nova Cond Light"/>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3CFC5" w14:textId="77777777" w:rsidR="00BB724B" w:rsidRDefault="00BB724B">
      <w:r>
        <w:separator/>
      </w:r>
    </w:p>
  </w:footnote>
  <w:footnote w:type="continuationSeparator" w:id="0">
    <w:p w14:paraId="14B37DFC" w14:textId="77777777" w:rsidR="00BB724B" w:rsidRDefault="00BB72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070F9" w14:textId="77777777" w:rsidR="00E75E1B" w:rsidRDefault="00E75E1B" w:rsidP="00E75E1B">
    <w:pPr>
      <w:pBdr>
        <w:top w:val="nil"/>
        <w:left w:val="nil"/>
        <w:bottom w:val="nil"/>
        <w:right w:val="nil"/>
        <w:between w:val="nil"/>
      </w:pBdr>
      <w:tabs>
        <w:tab w:val="center" w:pos="4513"/>
        <w:tab w:val="right" w:pos="9026"/>
      </w:tabs>
      <w:ind w:firstLine="0"/>
      <w:rPr>
        <w:rFonts w:ascii="Arial Nova Cond Light" w:eastAsia="Arial Nova Cond Light" w:hAnsi="Arial Nova Cond Light" w:cs="Arial Nova Cond Light"/>
      </w:rPr>
    </w:pPr>
    <w:r>
      <w:rPr>
        <w:rFonts w:ascii="Arial Nova Cond Light" w:eastAsia="Arial Nova Cond Light" w:hAnsi="Arial Nova Cond Light" w:cs="Arial Nova Cond Light"/>
      </w:rPr>
      <w:t xml:space="preserve">IJIER: Indonesian Journal of Islamic Educational Review, Vol.3, No.3, 2026: </w:t>
    </w:r>
    <w:r w:rsidRPr="00694377">
      <w:rPr>
        <w:rFonts w:ascii="Arial Nova Cond Light" w:eastAsia="Arial Nova Cond Light" w:hAnsi="Arial Nova Cond Light" w:cs="Arial Nova Cond Light"/>
      </w:rPr>
      <w:t>21</w:t>
    </w:r>
    <w:r>
      <w:rPr>
        <w:rFonts w:ascii="Arial Nova Cond Light" w:eastAsia="Arial Nova Cond Light" w:hAnsi="Arial Nova Cond Light" w:cs="Arial Nova Cond Light"/>
      </w:rPr>
      <w:t>48-2159</w:t>
    </w:r>
  </w:p>
  <w:p w14:paraId="4CB518DF" w14:textId="77777777" w:rsidR="001F5D90" w:rsidRPr="00C1474C" w:rsidRDefault="001F5D90" w:rsidP="00C147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B531E" w14:textId="77777777" w:rsidR="00E75E1B" w:rsidRDefault="00E75E1B" w:rsidP="00E75E1B">
    <w:pPr>
      <w:pBdr>
        <w:top w:val="nil"/>
        <w:left w:val="nil"/>
        <w:bottom w:val="nil"/>
        <w:right w:val="nil"/>
        <w:between w:val="nil"/>
      </w:pBdr>
      <w:tabs>
        <w:tab w:val="center" w:pos="4513"/>
        <w:tab w:val="right" w:pos="9026"/>
      </w:tabs>
      <w:ind w:firstLine="0"/>
      <w:rPr>
        <w:rFonts w:ascii="Arial Nova Cond Light" w:eastAsia="Arial Nova Cond Light" w:hAnsi="Arial Nova Cond Light" w:cs="Arial Nova Cond Light"/>
      </w:rPr>
    </w:pPr>
    <w:r>
      <w:rPr>
        <w:rFonts w:ascii="Arial Nova Cond Light" w:eastAsia="Arial Nova Cond Light" w:hAnsi="Arial Nova Cond Light" w:cs="Arial Nova Cond Light"/>
      </w:rPr>
      <w:t xml:space="preserve">IJIER: Indonesian Journal of Islamic Educational Review, Vol.3, No.3, 2026: </w:t>
    </w:r>
    <w:r w:rsidRPr="00694377">
      <w:rPr>
        <w:rFonts w:ascii="Arial Nova Cond Light" w:eastAsia="Arial Nova Cond Light" w:hAnsi="Arial Nova Cond Light" w:cs="Arial Nova Cond Light"/>
      </w:rPr>
      <w:t>21</w:t>
    </w:r>
    <w:r>
      <w:rPr>
        <w:rFonts w:ascii="Arial Nova Cond Light" w:eastAsia="Arial Nova Cond Light" w:hAnsi="Arial Nova Cond Light" w:cs="Arial Nova Cond Light"/>
      </w:rPr>
      <w:t>48-2159</w:t>
    </w:r>
  </w:p>
  <w:p w14:paraId="1354BB8B" w14:textId="77777777" w:rsidR="001F5D90" w:rsidRDefault="001F5D90">
    <w:pPr>
      <w:pBdr>
        <w:top w:val="nil"/>
        <w:left w:val="nil"/>
        <w:bottom w:val="nil"/>
        <w:right w:val="nil"/>
        <w:between w:val="nil"/>
      </w:pBdr>
      <w:tabs>
        <w:tab w:val="center" w:pos="4513"/>
        <w:tab w:val="right" w:pos="9026"/>
      </w:tabs>
      <w:ind w:firstLine="0"/>
      <w:jc w:val="left"/>
      <w:rPr>
        <w:rFonts w:ascii="Calibri" w:hAnsi="Calibri"/>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8E61F" w14:textId="77777777" w:rsidR="00AD72F9" w:rsidRDefault="00AD72F9" w:rsidP="00AD72F9">
    <w:pPr>
      <w:pBdr>
        <w:top w:val="nil"/>
        <w:left w:val="nil"/>
        <w:bottom w:val="nil"/>
        <w:right w:val="nil"/>
        <w:between w:val="nil"/>
      </w:pBdr>
      <w:tabs>
        <w:tab w:val="center" w:pos="4513"/>
        <w:tab w:val="right" w:pos="9026"/>
      </w:tabs>
      <w:ind w:firstLine="0"/>
      <w:rPr>
        <w:rFonts w:ascii="Arial Nova Cond Light" w:eastAsia="Arial Nova Cond Light" w:hAnsi="Arial Nova Cond Light" w:cs="Arial Nova Cond Light"/>
        <w:b/>
        <w:bCs/>
        <w:sz w:val="20"/>
        <w:szCs w:val="20"/>
      </w:rPr>
    </w:pPr>
    <w:r>
      <w:rPr>
        <w:noProof/>
      </w:rPr>
      <w:drawing>
        <wp:anchor distT="0" distB="0" distL="114300" distR="114300" simplePos="0" relativeHeight="251660288" behindDoc="0" locked="0" layoutInCell="1" hidden="0" allowOverlap="1" wp14:anchorId="0D975FF1" wp14:editId="03484F16">
          <wp:simplePos x="0" y="0"/>
          <wp:positionH relativeFrom="column">
            <wp:posOffset>30344</wp:posOffset>
          </wp:positionH>
          <wp:positionV relativeFrom="paragraph">
            <wp:posOffset>-134620</wp:posOffset>
          </wp:positionV>
          <wp:extent cx="762000" cy="142875"/>
          <wp:effectExtent l="0" t="0" r="0" b="0"/>
          <wp:wrapNone/>
          <wp:docPr id="382838409" name="image3.png" descr="Creative Commons License"/>
          <wp:cNvGraphicFramePr/>
          <a:graphic xmlns:a="http://schemas.openxmlformats.org/drawingml/2006/main">
            <a:graphicData uri="http://schemas.openxmlformats.org/drawingml/2006/picture">
              <pic:pic xmlns:pic="http://schemas.openxmlformats.org/drawingml/2006/picture">
                <pic:nvPicPr>
                  <pic:cNvPr id="0" name="image3.png" descr="Creative Commons License"/>
                  <pic:cNvPicPr preferRelativeResize="0"/>
                </pic:nvPicPr>
                <pic:blipFill>
                  <a:blip r:embed="rId1"/>
                  <a:srcRect/>
                  <a:stretch>
                    <a:fillRect/>
                  </a:stretch>
                </pic:blipFill>
                <pic:spPr>
                  <a:xfrm>
                    <a:off x="0" y="0"/>
                    <a:ext cx="762000" cy="142875"/>
                  </a:xfrm>
                  <a:prstGeom prst="rect">
                    <a:avLst/>
                  </a:prstGeom>
                  <a:ln/>
                </pic:spPr>
              </pic:pic>
            </a:graphicData>
          </a:graphic>
        </wp:anchor>
      </w:drawing>
    </w:r>
    <w:r>
      <w:rPr>
        <w:noProof/>
      </w:rPr>
      <w:drawing>
        <wp:anchor distT="114300" distB="114300" distL="114300" distR="114300" simplePos="0" relativeHeight="251659264" behindDoc="0" locked="0" layoutInCell="1" hidden="0" allowOverlap="1" wp14:anchorId="080EAAC1" wp14:editId="35B96497">
          <wp:simplePos x="0" y="0"/>
          <wp:positionH relativeFrom="column">
            <wp:posOffset>5237280</wp:posOffset>
          </wp:positionH>
          <wp:positionV relativeFrom="paragraph">
            <wp:posOffset>-135911</wp:posOffset>
          </wp:positionV>
          <wp:extent cx="857495" cy="534340"/>
          <wp:effectExtent l="0" t="0" r="0" b="0"/>
          <wp:wrapNone/>
          <wp:docPr id="1565069540" name="image2.png" descr="Sebuah gambar berisi Font, cuplikan layar, teks, Grafis&#10;&#10;Konten yang dihasilkan AI mungkin salah."/>
          <wp:cNvGraphicFramePr/>
          <a:graphic xmlns:a="http://schemas.openxmlformats.org/drawingml/2006/main">
            <a:graphicData uri="http://schemas.openxmlformats.org/drawingml/2006/picture">
              <pic:pic xmlns:pic="http://schemas.openxmlformats.org/drawingml/2006/picture">
                <pic:nvPicPr>
                  <pic:cNvPr id="8" name="image2.png" descr="Sebuah gambar berisi Font, cuplikan layar, teks, Grafis&#10;&#10;Konten yang dihasilkan AI mungkin salah."/>
                  <pic:cNvPicPr preferRelativeResize="0"/>
                </pic:nvPicPr>
                <pic:blipFill>
                  <a:blip r:embed="rId2"/>
                  <a:srcRect/>
                  <a:stretch>
                    <a:fillRect/>
                  </a:stretch>
                </pic:blipFill>
                <pic:spPr>
                  <a:xfrm>
                    <a:off x="0" y="0"/>
                    <a:ext cx="857495" cy="534340"/>
                  </a:xfrm>
                  <a:prstGeom prst="rect">
                    <a:avLst/>
                  </a:prstGeom>
                  <a:ln/>
                </pic:spPr>
              </pic:pic>
            </a:graphicData>
          </a:graphic>
        </wp:anchor>
      </w:drawing>
    </w:r>
    <w:r>
      <w:rPr>
        <w:rFonts w:ascii="Arial Nova Cond Light" w:eastAsia="Arial Nova Cond Light" w:hAnsi="Arial Nova Cond Light" w:cs="Arial Nova Cond Light"/>
        <w:b/>
        <w:bCs/>
        <w:sz w:val="20"/>
        <w:szCs w:val="20"/>
      </w:rPr>
      <w:t>Copyright © The Author(s)</w:t>
    </w:r>
  </w:p>
  <w:p w14:paraId="1DF0E8C3" w14:textId="163B2F49" w:rsidR="00AD72F9" w:rsidRDefault="00AD72F9" w:rsidP="00AD72F9">
    <w:pPr>
      <w:pBdr>
        <w:top w:val="nil"/>
        <w:left w:val="nil"/>
        <w:bottom w:val="nil"/>
        <w:right w:val="nil"/>
        <w:between w:val="nil"/>
      </w:pBdr>
      <w:tabs>
        <w:tab w:val="center" w:pos="4513"/>
        <w:tab w:val="right" w:pos="9026"/>
      </w:tabs>
      <w:ind w:firstLine="0"/>
      <w:rPr>
        <w:rFonts w:ascii="Arial Nova Cond Light" w:eastAsia="Arial Nova Cond Light" w:hAnsi="Arial Nova Cond Light" w:cs="Arial Nova Cond Light"/>
      </w:rPr>
    </w:pPr>
    <w:r>
      <w:rPr>
        <w:rFonts w:ascii="Arial Nova Cond Light" w:eastAsia="Arial Nova Cond Light" w:hAnsi="Arial Nova Cond Light" w:cs="Arial Nova Cond Light"/>
      </w:rPr>
      <w:t xml:space="preserve">IJIER: Indonesian Journal of Islamic Educational Review, Vol.3, No.3, 2026: </w:t>
    </w:r>
    <w:r w:rsidRPr="00694377">
      <w:rPr>
        <w:rFonts w:ascii="Arial Nova Cond Light" w:eastAsia="Arial Nova Cond Light" w:hAnsi="Arial Nova Cond Light" w:cs="Arial Nova Cond Light"/>
      </w:rPr>
      <w:t>21</w:t>
    </w:r>
    <w:r w:rsidR="00E75E1B">
      <w:rPr>
        <w:rFonts w:ascii="Arial Nova Cond Light" w:eastAsia="Arial Nova Cond Light" w:hAnsi="Arial Nova Cond Light" w:cs="Arial Nova Cond Light"/>
      </w:rPr>
      <w:t>48</w:t>
    </w:r>
    <w:r>
      <w:rPr>
        <w:rFonts w:ascii="Arial Nova Cond Light" w:eastAsia="Arial Nova Cond Light" w:hAnsi="Arial Nova Cond Light" w:cs="Arial Nova Cond Light"/>
      </w:rPr>
      <w:t>-21</w:t>
    </w:r>
    <w:r w:rsidR="00E75E1B">
      <w:rPr>
        <w:rFonts w:ascii="Arial Nova Cond Light" w:eastAsia="Arial Nova Cond Light" w:hAnsi="Arial Nova Cond Light" w:cs="Arial Nova Cond Light"/>
      </w:rPr>
      <w:t>59</w:t>
    </w:r>
  </w:p>
  <w:p w14:paraId="3E1E4ED7" w14:textId="77777777" w:rsidR="00AD72F9" w:rsidRDefault="00AD72F9" w:rsidP="00AD72F9">
    <w:pPr>
      <w:pBdr>
        <w:top w:val="nil"/>
        <w:left w:val="nil"/>
        <w:bottom w:val="nil"/>
        <w:right w:val="nil"/>
        <w:between w:val="nil"/>
      </w:pBdr>
      <w:tabs>
        <w:tab w:val="center" w:pos="4513"/>
        <w:tab w:val="right" w:pos="9026"/>
      </w:tabs>
      <w:ind w:firstLine="0"/>
      <w:rPr>
        <w:rFonts w:ascii="Arial Nova Cond Light" w:eastAsia="Arial Nova Cond Light" w:hAnsi="Arial Nova Cond Light" w:cs="Arial Nova Cond Light"/>
      </w:rPr>
    </w:pPr>
    <w:r>
      <w:rPr>
        <w:rFonts w:ascii="Times New Roman" w:eastAsia="Times New Roman" w:hAnsi="Times New Roman" w:cs="Times New Roman"/>
        <w:sz w:val="20"/>
        <w:szCs w:val="20"/>
      </w:rPr>
      <w:t xml:space="preserve">Available online at: </w:t>
    </w:r>
    <w:hyperlink r:id="rId3">
      <w:r>
        <w:rPr>
          <w:rFonts w:ascii="Times New Roman" w:eastAsia="Times New Roman" w:hAnsi="Times New Roman" w:cs="Times New Roman"/>
          <w:color w:val="1155CC"/>
          <w:sz w:val="20"/>
          <w:szCs w:val="20"/>
          <w:u w:val="single"/>
        </w:rPr>
        <w:t>https://ssed.or.id/journal/ijier</w:t>
      </w:r>
    </w:hyperlink>
  </w:p>
  <w:p w14:paraId="2BC36B51" w14:textId="77777777" w:rsidR="00AD72F9" w:rsidRPr="007B541F" w:rsidRDefault="00AD72F9" w:rsidP="00AD72F9">
    <w:pPr>
      <w:pBdr>
        <w:top w:val="nil"/>
        <w:left w:val="nil"/>
        <w:bottom w:val="nil"/>
        <w:right w:val="nil"/>
        <w:between w:val="nil"/>
      </w:pBdr>
      <w:tabs>
        <w:tab w:val="center" w:pos="4513"/>
        <w:tab w:val="right" w:pos="9026"/>
      </w:tabs>
      <w:ind w:firstLine="0"/>
      <w:rPr>
        <w:rFonts w:ascii="Arial Nova Cond Light" w:eastAsia="Arial Nova Cond Light" w:hAnsi="Arial Nova Cond Light" w:cs="Arial Nova Cond Light"/>
      </w:rPr>
    </w:pPr>
    <w:r>
      <w:rPr>
        <w:rFonts w:ascii="Arial Nova Cond Light" w:eastAsia="Arial Nova Cond Light" w:hAnsi="Arial Nova Cond Light" w:cs="Arial Nova Cond Light"/>
      </w:rPr>
      <w:t>ISSN 3047-0706</w:t>
    </w:r>
  </w:p>
  <w:p w14:paraId="02F8DAC5" w14:textId="77777777" w:rsidR="001F5D90" w:rsidRPr="00AD72F9" w:rsidRDefault="001F5D90" w:rsidP="00AD72F9">
    <w:pPr>
      <w:pStyle w:val="Header"/>
      <w:ind w:firstLine="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7"/>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D90"/>
    <w:rsid w:val="000F280D"/>
    <w:rsid w:val="001F5D90"/>
    <w:rsid w:val="00227613"/>
    <w:rsid w:val="00344CD8"/>
    <w:rsid w:val="004660CC"/>
    <w:rsid w:val="004726DF"/>
    <w:rsid w:val="005D33C3"/>
    <w:rsid w:val="00603AB9"/>
    <w:rsid w:val="006F6B71"/>
    <w:rsid w:val="008E1538"/>
    <w:rsid w:val="00A952E1"/>
    <w:rsid w:val="00AD72F9"/>
    <w:rsid w:val="00BB724B"/>
    <w:rsid w:val="00BE522A"/>
    <w:rsid w:val="00C1474C"/>
    <w:rsid w:val="00CE1137"/>
    <w:rsid w:val="00CF1114"/>
    <w:rsid w:val="00E732A3"/>
    <w:rsid w:val="00E75E1B"/>
    <w:rsid w:val="00F34AA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A4F58"/>
  <w15:docId w15:val="{777F1785-B889-4BE9-BA8A-F464F0A3A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1B31"/>
    <w:pPr>
      <w:spacing w:after="0" w:line="240" w:lineRule="auto"/>
      <w:ind w:firstLine="567"/>
      <w:jc w:val="both"/>
    </w:pPr>
    <w:rPr>
      <w:rFonts w:ascii="Arial Nova Cond" w:hAnsi="Arial Nova Cond"/>
      <w:color w:val="000000"/>
      <w:sz w:val="24"/>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next w:val="Normal"/>
    <w:uiPriority w:val="9"/>
    <w:unhideWhenUsed/>
    <w:qFormat/>
    <w:pPr>
      <w:keepNext/>
      <w:keepLines/>
      <w:spacing w:before="360" w:after="80"/>
      <w:outlineLvl w:val="1"/>
    </w:pPr>
    <w:rPr>
      <w:b/>
      <w:sz w:val="36"/>
      <w:szCs w:val="36"/>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szCs w:val="24"/>
    </w:rPr>
  </w:style>
  <w:style w:type="paragraph" w:styleId="Judul5">
    <w:name w:val="heading 5"/>
    <w:basedOn w:val="Normal"/>
    <w:next w:val="Normal"/>
    <w:uiPriority w:val="9"/>
    <w:semiHidden/>
    <w:unhideWhenUsed/>
    <w:qFormat/>
    <w:pPr>
      <w:keepNext/>
      <w:keepLines/>
      <w:spacing w:before="220" w:after="40"/>
      <w:outlineLvl w:val="4"/>
    </w:pPr>
    <w:rPr>
      <w:b/>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Judul">
    <w:name w:val="Title"/>
    <w:basedOn w:val="Normal"/>
    <w:next w:val="Normal"/>
    <w:uiPriority w:val="10"/>
    <w:qFormat/>
    <w:pPr>
      <w:keepNext/>
      <w:keepLines/>
      <w:spacing w:before="480" w:after="120"/>
    </w:pPr>
    <w:rPr>
      <w:b/>
      <w:sz w:val="72"/>
      <w:szCs w:val="72"/>
    </w:rPr>
  </w:style>
  <w:style w:type="paragraph" w:styleId="Subjudul">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elNormal"/>
    <w:pPr>
      <w:spacing w:after="0" w:line="240" w:lineRule="auto"/>
    </w:pPr>
    <w:rPr>
      <w:color w:val="000000"/>
    </w:rPr>
    <w:tblPr>
      <w:tblStyleRowBandSize w:val="1"/>
      <w:tblStyleColBandSize w:val="1"/>
    </w:tblPr>
  </w:style>
  <w:style w:type="paragraph" w:styleId="Header">
    <w:name w:val="header"/>
    <w:basedOn w:val="Normal"/>
    <w:link w:val="HeaderKAR"/>
    <w:uiPriority w:val="99"/>
    <w:semiHidden/>
    <w:unhideWhenUsed/>
    <w:rsid w:val="00FC3341"/>
    <w:pPr>
      <w:tabs>
        <w:tab w:val="center" w:pos="4513"/>
        <w:tab w:val="right" w:pos="9026"/>
      </w:tabs>
    </w:pPr>
  </w:style>
  <w:style w:type="character" w:customStyle="1" w:styleId="HeaderKAR">
    <w:name w:val="Header KAR"/>
    <w:basedOn w:val="FontParagrafDefault"/>
    <w:link w:val="Header"/>
    <w:uiPriority w:val="99"/>
    <w:semiHidden/>
    <w:rsid w:val="00FC3341"/>
  </w:style>
  <w:style w:type="table" w:customStyle="1" w:styleId="a0">
    <w:basedOn w:val="TabelNormal"/>
    <w:pPr>
      <w:spacing w:after="0" w:line="240" w:lineRule="auto"/>
    </w:pPr>
    <w:rPr>
      <w:color w:val="000000"/>
    </w:rPr>
    <w:tblPr>
      <w:tblStyleRowBandSize w:val="1"/>
      <w:tblStyleColBandSize w:val="1"/>
    </w:tblPr>
  </w:style>
  <w:style w:type="table" w:customStyle="1" w:styleId="a1">
    <w:basedOn w:val="TabelNormal"/>
    <w:pPr>
      <w:spacing w:after="0" w:line="240" w:lineRule="auto"/>
    </w:pPr>
    <w:rPr>
      <w:color w:val="000000"/>
    </w:rPr>
    <w:tblPr>
      <w:tblStyleRowBandSize w:val="1"/>
      <w:tblStyleColBandSize w:val="1"/>
    </w:tblPr>
  </w:style>
  <w:style w:type="paragraph" w:customStyle="1" w:styleId="ArticleTable">
    <w:name w:val="Article Table"/>
    <w:pPr>
      <w:spacing w:after="0" w:line="240" w:lineRule="auto"/>
    </w:pPr>
    <w:rPr>
      <w:rFonts w:ascii="Arial Nova Cond" w:hAnsi="Arial Nova Cond"/>
      <w:sz w:val="20"/>
    </w:rPr>
  </w:style>
  <w:style w:type="character" w:styleId="Hyperlink">
    <w:name w:val="Hyperlink"/>
    <w:basedOn w:val="FontParagrafDefault"/>
    <w:uiPriority w:val="99"/>
    <w:unhideWhenUsed/>
    <w:rsid w:val="00E732A3"/>
    <w:rPr>
      <w:color w:val="0000FF" w:themeColor="hyperlink"/>
      <w:u w:val="single"/>
    </w:rPr>
  </w:style>
  <w:style w:type="character" w:styleId="SebutanYangBelumTerselesaikan">
    <w:name w:val="Unresolved Mention"/>
    <w:basedOn w:val="FontParagrafDefault"/>
    <w:uiPriority w:val="99"/>
    <w:semiHidden/>
    <w:unhideWhenUsed/>
    <w:rsid w:val="00E732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muhammad2100001058@webmail.uad.ac.id"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3" Type="http://schemas.openxmlformats.org/officeDocument/2006/relationships/hyperlink" Target="https://ssed.or.id/journal/ijier"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lu1w2YxOaBxIpcDZ29EO6OT4zQ==">CgMxLjAyCGguZ2pkZ3hzMg5oLmNmeHpic2F1eGFlODIJaC4zMGowemxsOAByITE2WW9WQ2NyVEgwcmdFTW1KRnhnNjhhRGoxZHlaUnM3cw==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5492</Words>
  <Characters>31310</Characters>
  <Application>Microsoft Office Word</Application>
  <DocSecurity>0</DocSecurity>
  <Lines>260</Lines>
  <Paragraphs>73</Paragraphs>
  <ScaleCrop>false</ScaleCrop>
  <Company/>
  <LinksUpToDate>false</LinksUpToDate>
  <CharactersWithSpaces>36729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Muhyamin</cp:lastModifiedBy>
  <cp:revision>3</cp:revision>
  <dcterms:created xsi:type="dcterms:W3CDTF">2026-10-16T14:18:00Z</dcterms:created>
  <dcterms:modified xsi:type="dcterms:W3CDTF">2026-10-16T14:19:00Z</dcterms:modified>
</cp:coreProperties>
</file>